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C98" w:rsidRPr="008D1126" w:rsidRDefault="008D1126" w:rsidP="008D1126">
      <w:pPr>
        <w:pStyle w:val="berschrift1"/>
        <w:rPr>
          <w:b/>
          <w:bCs/>
        </w:rPr>
      </w:pPr>
      <w:r w:rsidRPr="008D1126">
        <w:rPr>
          <w:b/>
          <w:bCs/>
        </w:rPr>
        <w:t xml:space="preserve">10 </w:t>
      </w:r>
      <w:r w:rsidR="00276C98" w:rsidRPr="008D1126">
        <w:rPr>
          <w:b/>
          <w:bCs/>
        </w:rPr>
        <w:t xml:space="preserve">Die Barmer Theologische Erklärung </w:t>
      </w:r>
    </w:p>
    <w:p w:rsidR="00B40A49" w:rsidRPr="00B40A49" w:rsidRDefault="00B40A49" w:rsidP="00276C98">
      <w:pPr>
        <w:rPr>
          <w:b/>
          <w:bCs/>
          <w:sz w:val="24"/>
          <w:szCs w:val="24"/>
        </w:rPr>
      </w:pPr>
      <w:r w:rsidRPr="00B40A49">
        <w:rPr>
          <w:b/>
          <w:bCs/>
          <w:sz w:val="24"/>
          <w:szCs w:val="24"/>
        </w:rPr>
        <w:t>Einleitung</w:t>
      </w:r>
    </w:p>
    <w:p w:rsidR="00276C98" w:rsidRPr="00276C98" w:rsidRDefault="008D1126" w:rsidP="00276C98">
      <w:pPr>
        <w:rPr>
          <w:sz w:val="24"/>
          <w:szCs w:val="24"/>
        </w:rPr>
      </w:pPr>
      <w:r w:rsidRPr="008D1126">
        <w:rPr>
          <w:b/>
          <w:bCs/>
          <w:noProof/>
        </w:rPr>
        <w:drawing>
          <wp:anchor distT="0" distB="0" distL="114300" distR="114300" simplePos="0" relativeHeight="251658240" behindDoc="1" locked="0" layoutInCell="1" allowOverlap="1">
            <wp:simplePos x="0" y="0"/>
            <wp:positionH relativeFrom="margin">
              <wp:align>left</wp:align>
            </wp:positionH>
            <wp:positionV relativeFrom="paragraph">
              <wp:posOffset>6350</wp:posOffset>
            </wp:positionV>
            <wp:extent cx="3067050" cy="1919605"/>
            <wp:effectExtent l="0" t="0" r="0" b="0"/>
            <wp:wrapTight wrapText="bothSides">
              <wp:wrapPolygon edited="0">
                <wp:start x="402" y="429"/>
                <wp:lineTo x="268" y="1500"/>
                <wp:lineTo x="134" y="18863"/>
                <wp:lineTo x="402" y="21007"/>
                <wp:lineTo x="21063" y="21007"/>
                <wp:lineTo x="21198" y="20578"/>
                <wp:lineTo x="21466" y="12433"/>
                <wp:lineTo x="21198" y="1286"/>
                <wp:lineTo x="21063" y="429"/>
                <wp:lineTo x="402" y="42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4627" b="91045" l="3458" r="98785">
                                  <a14:foregroundMark x1="5421" y1="22687" x2="5421" y2="22687"/>
                                  <a14:foregroundMark x1="4953" y1="10000" x2="4953" y2="10000"/>
                                  <a14:foregroundMark x1="5327" y1="4776" x2="5327" y2="4776"/>
                                  <a14:foregroundMark x1="21308" y1="9403" x2="21308" y2="9403"/>
                                  <a14:foregroundMark x1="21308" y1="9403" x2="21308" y2="9403"/>
                                  <a14:foregroundMark x1="31589" y1="20896" x2="31589" y2="20896"/>
                                  <a14:foregroundMark x1="31589" y1="20896" x2="31589" y2="20896"/>
                                  <a14:foregroundMark x1="35140" y1="22836" x2="35140" y2="22836"/>
                                  <a14:foregroundMark x1="51776" y1="30597" x2="51776" y2="30597"/>
                                  <a14:foregroundMark x1="52617" y1="30299" x2="52710" y2="31343"/>
                                  <a14:foregroundMark x1="64299" y1="47910" x2="64299" y2="47910"/>
                                  <a14:foregroundMark x1="71121" y1="59104" x2="71121" y2="59104"/>
                                  <a14:foregroundMark x1="70654" y1="84030" x2="70654" y2="84030"/>
                                  <a14:foregroundMark x1="62991" y1="80299" x2="62991" y2="80299"/>
                                  <a14:foregroundMark x1="62710" y1="79552" x2="62710" y2="79552"/>
                                  <a14:foregroundMark x1="54299" y1="78209" x2="54299" y2="78209"/>
                                  <a14:foregroundMark x1="53832" y1="78060" x2="53832" y2="78060"/>
                                  <a14:foregroundMark x1="36262" y1="76567" x2="36262" y2="76567"/>
                                  <a14:foregroundMark x1="36075" y1="76567" x2="36075" y2="76567"/>
                                  <a14:foregroundMark x1="35981" y1="75970" x2="35981" y2="75970"/>
                                  <a14:foregroundMark x1="35794" y1="64627" x2="36075" y2="63881"/>
                                  <a14:foregroundMark x1="35794" y1="62687" x2="35794" y2="62687"/>
                                  <a14:foregroundMark x1="38411" y1="51642" x2="38411" y2="51642"/>
                                  <a14:foregroundMark x1="38131" y1="51642" x2="38131" y2="51642"/>
                                  <a14:foregroundMark x1="37944" y1="51642" x2="37944" y2="51642"/>
                                  <a14:foregroundMark x1="29252" y1="57910" x2="29252" y2="57910"/>
                                  <a14:foregroundMark x1="29252" y1="57612" x2="28131" y2="57910"/>
                                  <a14:foregroundMark x1="27383" y1="58955" x2="25701" y2="60448"/>
                                  <a14:foregroundMark x1="5888" y1="81194" x2="5888" y2="81194"/>
                                  <a14:foregroundMark x1="4019" y1="90448" x2="4019" y2="90448"/>
                                  <a14:foregroundMark x1="4953" y1="91194" x2="4953" y2="91194"/>
                                  <a14:foregroundMark x1="5140" y1="91194" x2="5140" y2="91194"/>
                                  <a14:foregroundMark x1="6355" y1="86418" x2="6075" y2="85672"/>
                                  <a14:foregroundMark x1="5140" y1="84179" x2="5140" y2="84179"/>
                                  <a14:foregroundMark x1="4206" y1="87761" x2="4206" y2="87761"/>
                                  <a14:foregroundMark x1="4206" y1="76716" x2="4206" y2="76716"/>
                                  <a14:foregroundMark x1="4486" y1="71343" x2="4486" y2="71343"/>
                                  <a14:foregroundMark x1="4393" y1="74776" x2="4393" y2="74776"/>
                                  <a14:foregroundMark x1="5140" y1="70149" x2="5140" y2="70149"/>
                                  <a14:foregroundMark x1="4393" y1="61343" x2="4393" y2="61343"/>
                                  <a14:foregroundMark x1="4953" y1="58209" x2="4953" y2="58209"/>
                                  <a14:foregroundMark x1="5327" y1="50000" x2="5327" y2="50000"/>
                                  <a14:foregroundMark x1="3551" y1="40299" x2="3551" y2="40299"/>
                                  <a14:foregroundMark x1="4206" y1="29104" x2="4206" y2="29104"/>
                                  <a14:foregroundMark x1="5421" y1="9254" x2="5421" y2="9254"/>
                                  <a14:foregroundMark x1="13084" y1="7164" x2="13551" y2="7761"/>
                                  <a14:foregroundMark x1="39720" y1="8657" x2="39720" y2="8657"/>
                                  <a14:foregroundMark x1="22991" y1="7910" x2="22991" y2="7910"/>
                                  <a14:foregroundMark x1="35327" y1="9403" x2="35327" y2="9403"/>
                                  <a14:foregroundMark x1="91776" y1="21194" x2="91776" y2="21194"/>
                                  <a14:foregroundMark x1="46355" y1="7910" x2="48505" y2="8507"/>
                                  <a14:foregroundMark x1="59907" y1="7761" x2="59907" y2="7761"/>
                                  <a14:foregroundMark x1="69533" y1="9403" x2="69533" y2="9403"/>
                                  <a14:foregroundMark x1="65234" y1="9254" x2="65234" y2="9254"/>
                                  <a14:foregroundMark x1="78131" y1="8955" x2="78131" y2="8955"/>
                                  <a14:foregroundMark x1="80280" y1="8507" x2="80280" y2="8507"/>
                                  <a14:foregroundMark x1="88692" y1="10149" x2="88692" y2="10149"/>
                                  <a14:foregroundMark x1="94299" y1="9701" x2="94299" y2="9701"/>
                                  <a14:foregroundMark x1="77477" y1="9701" x2="77477" y2="9701"/>
                                  <a14:foregroundMark x1="68131" y1="8209" x2="68131" y2="8209"/>
                                  <a14:foregroundMark x1="67383" y1="8209" x2="67383" y2="8209"/>
                                  <a14:foregroundMark x1="60187" y1="8955" x2="59439" y2="8955"/>
                                  <a14:foregroundMark x1="5794" y1="88209" x2="5794" y2="87164"/>
                                  <a14:foregroundMark x1="5421" y1="78209" x2="5421" y2="78209"/>
                                  <a14:foregroundMark x1="4486" y1="83731" x2="4393" y2="82985"/>
                                  <a14:foregroundMark x1="3925" y1="77015" x2="3925" y2="77015"/>
                                  <a14:foregroundMark x1="4673" y1="79254" x2="4673" y2="79254"/>
                                  <a14:foregroundMark x1="4393" y1="81194" x2="4393" y2="81194"/>
                                  <a14:foregroundMark x1="5140" y1="66567" x2="5140" y2="66567"/>
                                  <a14:foregroundMark x1="4860" y1="66119" x2="4860" y2="66119"/>
                                  <a14:foregroundMark x1="4673" y1="63582" x2="4673" y2="63582"/>
                                  <a14:foregroundMark x1="4860" y1="54925" x2="4860" y2="54925"/>
                                  <a14:foregroundMark x1="3925" y1="47164" x2="3925" y2="47164"/>
                                  <a14:foregroundMark x1="4953" y1="37313" x2="4953" y2="37313"/>
                                  <a14:foregroundMark x1="5888" y1="46269" x2="5888" y2="46269"/>
                                  <a14:foregroundMark x1="6075" y1="39552" x2="6075" y2="39552"/>
                                  <a14:foregroundMark x1="4019" y1="41940" x2="4019" y2="41940"/>
                                  <a14:foregroundMark x1="5607" y1="34328" x2="5607" y2="34328"/>
                                  <a14:foregroundMark x1="5421" y1="18955" x2="5421" y2="18955"/>
                                  <a14:foregroundMark x1="4486" y1="12985" x2="4486" y2="12985"/>
                                  <a14:foregroundMark x1="5794" y1="10746" x2="5794" y2="10746"/>
                                  <a14:foregroundMark x1="32336" y1="10000" x2="32336" y2="10000"/>
                                  <a14:foregroundMark x1="29907" y1="8955" x2="28598" y2="8657"/>
                                  <a14:foregroundMark x1="24579" y1="7463" x2="24579" y2="7463"/>
                                  <a14:foregroundMark x1="19159" y1="7463" x2="19159" y2="7463"/>
                                  <a14:foregroundMark x1="19159" y1="7463" x2="17850" y2="8209"/>
                                  <a14:foregroundMark x1="14486" y1="10149" x2="14486" y2="10149"/>
                                  <a14:foregroundMark x1="54766" y1="8507" x2="54766" y2="8507"/>
                                  <a14:foregroundMark x1="51028" y1="8507" x2="51028" y2="8507"/>
                                  <a14:foregroundMark x1="51028" y1="9403" x2="51028" y2="9403"/>
                                  <a14:foregroundMark x1="41215" y1="7463" x2="41215" y2="7463"/>
                                  <a14:foregroundMark x1="43551" y1="8955" x2="43551" y2="8955"/>
                                  <a14:foregroundMark x1="35981" y1="7910" x2="35981" y2="7910"/>
                                  <a14:foregroundMark x1="82336" y1="7463" x2="82336" y2="7463"/>
                                  <a14:foregroundMark x1="82336" y1="7463" x2="82336" y2="7463"/>
                                  <a14:foregroundMark x1="82430" y1="10149" x2="82430" y2="10149"/>
                                  <a14:foregroundMark x1="69720" y1="8209" x2="69720" y2="8209"/>
                                  <a14:foregroundMark x1="74206" y1="8507" x2="74206" y2="8507"/>
                                  <a14:foregroundMark x1="66262" y1="9701" x2="65701" y2="10448"/>
                                  <a14:foregroundMark x1="62056" y1="10149" x2="62056" y2="10149"/>
                                  <a14:foregroundMark x1="80467" y1="10746" x2="80467" y2="10746"/>
                                  <a14:foregroundMark x1="88692" y1="9701" x2="88692" y2="9701"/>
                                  <a14:foregroundMark x1="90841" y1="9701" x2="90841" y2="9701"/>
                                  <a14:foregroundMark x1="92150" y1="9403" x2="92710" y2="9254"/>
                                  <a14:foregroundMark x1="95514" y1="14627" x2="95514" y2="14627"/>
                                  <a14:foregroundMark x1="93645" y1="23881" x2="93645" y2="23881"/>
                                  <a14:foregroundMark x1="93645" y1="23881" x2="93645" y2="23881"/>
                                  <a14:foregroundMark x1="93645" y1="23881" x2="93178" y2="24925"/>
                                  <a14:foregroundMark x1="88972" y1="24627" x2="88972" y2="24627"/>
                                  <a14:foregroundMark x1="88505" y1="24627" x2="88505" y2="24627"/>
                                  <a14:foregroundMark x1="88037" y1="24627" x2="88037" y2="24627"/>
                                  <a14:foregroundMark x1="88224" y1="31493" x2="88224" y2="31493"/>
                                  <a14:foregroundMark x1="88224" y1="31343" x2="88224" y2="31343"/>
                                  <a14:foregroundMark x1="92617" y1="39254" x2="92617" y2="39254"/>
                                  <a14:foregroundMark x1="92710" y1="39254" x2="92710" y2="39254"/>
                                  <a14:foregroundMark x1="79065" y1="44478" x2="79065" y2="44478"/>
                                  <a14:foregroundMark x1="90280" y1="59403" x2="90280" y2="59403"/>
                                  <a14:foregroundMark x1="90374" y1="59701" x2="90374" y2="59701"/>
                                  <a14:foregroundMark x1="80748" y1="84776" x2="80748" y2="84776"/>
                                  <a14:foregroundMark x1="80748" y1="84776" x2="80748" y2="84776"/>
                                  <a14:foregroundMark x1="92710" y1="87910" x2="92710" y2="87910"/>
                                  <a14:foregroundMark x1="92710" y1="87910" x2="92710" y2="87910"/>
                                  <a14:foregroundMark x1="95701" y1="90000" x2="95701" y2="90000"/>
                                  <a14:foregroundMark x1="95701" y1="90000" x2="95701" y2="90000"/>
                                  <a14:foregroundMark x1="92710" y1="57910" x2="92710" y2="57910"/>
                                  <a14:foregroundMark x1="92710" y1="57463" x2="92710" y2="57463"/>
                                  <a14:foregroundMark x1="88224" y1="39254" x2="88692" y2="38806"/>
                                  <a14:foregroundMark x1="94953" y1="7463" x2="94953" y2="7463"/>
                                  <a14:foregroundMark x1="94579" y1="8657" x2="94579" y2="8657"/>
                                  <a14:foregroundMark x1="95421" y1="18209" x2="95421" y2="18209"/>
                                  <a14:foregroundMark x1="95421" y1="18209" x2="95421" y2="18209"/>
                                  <a14:foregroundMark x1="95701" y1="24627" x2="95701" y2="24627"/>
                                  <a14:foregroundMark x1="95701" y1="24627" x2="95701" y2="24627"/>
                                  <a14:foregroundMark x1="93832" y1="36716" x2="93832" y2="36716"/>
                                  <a14:foregroundMark x1="93645" y1="35970" x2="93645" y2="35970"/>
                                  <a14:foregroundMark x1="91495" y1="32090" x2="91495" y2="32090"/>
                                  <a14:foregroundMark x1="91495" y1="32090" x2="91495" y2="32090"/>
                                  <a14:foregroundMark x1="88692" y1="23134" x2="88692" y2="23134"/>
                                  <a14:foregroundMark x1="88692" y1="23134" x2="88692" y2="23134"/>
                                  <a14:foregroundMark x1="90841" y1="38507" x2="90841" y2="38507"/>
                                  <a14:foregroundMark x1="90841" y1="37761" x2="90841" y2="37761"/>
                                  <a14:foregroundMark x1="83084" y1="41194" x2="83084" y2="41194"/>
                                  <a14:foregroundMark x1="87757" y1="51493" x2="87757" y2="51493"/>
                                  <a14:foregroundMark x1="92617" y1="49254" x2="92150" y2="48209"/>
                                  <a14:foregroundMark x1="92150" y1="47761" x2="92150" y2="47761"/>
                                  <a14:foregroundMark x1="87570" y1="41791" x2="87570" y2="41791"/>
                                  <a14:foregroundMark x1="82336" y1="36269" x2="82336" y2="36269"/>
                                  <a14:foregroundMark x1="79626" y1="38060" x2="79159" y2="38209"/>
                                  <a14:foregroundMark x1="78598" y1="38209" x2="78598" y2="38209"/>
                                  <a14:foregroundMark x1="77944" y1="38806" x2="77944" y2="40746"/>
                                  <a14:foregroundMark x1="80935" y1="46269" x2="80935" y2="46269"/>
                                  <a14:foregroundMark x1="81215" y1="45224" x2="82430" y2="44925"/>
                                  <a14:foregroundMark x1="84299" y1="40448" x2="84299" y2="40448"/>
                                  <a14:foregroundMark x1="90280" y1="36567" x2="90280" y2="36567"/>
                                  <a14:foregroundMark x1="93178" y1="51194" x2="93178" y2="51194"/>
                                  <a14:foregroundMark x1="89626" y1="42239" x2="89626" y2="42239"/>
                                  <a14:foregroundMark x1="95234" y1="40299" x2="95234" y2="40299"/>
                                  <a14:foregroundMark x1="94112" y1="47910" x2="94112" y2="47910"/>
                                  <a14:foregroundMark x1="93551" y1="42239" x2="93551" y2="42239"/>
                                  <a14:foregroundMark x1="88411" y1="56418" x2="88411" y2="56418"/>
                                  <a14:foregroundMark x1="88037" y1="48507" x2="88037" y2="48507"/>
                                  <a14:foregroundMark x1="89626" y1="54925" x2="89626" y2="54925"/>
                                  <a14:foregroundMark x1="98785" y1="58358" x2="98785" y2="58358"/>
                                  <a14:foregroundMark x1="95047" y1="58209" x2="95047" y2="58209"/>
                                  <a14:foregroundMark x1="95047" y1="58657" x2="95047" y2="60448"/>
                                  <a14:foregroundMark x1="87570" y1="87463" x2="87570" y2="87463"/>
                                  <a14:foregroundMark x1="91776" y1="84478" x2="91776" y2="84478"/>
                                  <a14:foregroundMark x1="11573" y1="79461" x2="11573" y2="79461"/>
                                  <a14:foregroundMark x1="13394" y1="84232" x2="13394" y2="84232"/>
                                  <a14:foregroundMark x1="18986" y1="85477" x2="18986" y2="85477"/>
                                  <a14:foregroundMark x1="19636" y1="85062" x2="19636" y2="8506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067050" cy="191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76C98" w:rsidRPr="00276C98">
        <w:rPr>
          <w:sz w:val="24"/>
          <w:szCs w:val="24"/>
        </w:rPr>
        <w:t xml:space="preserve"> Die Theologische Erklärung der Bekenntnissynode i</w:t>
      </w:r>
      <w:r w:rsidR="00B40A49">
        <w:rPr>
          <w:sz w:val="24"/>
          <w:szCs w:val="24"/>
        </w:rPr>
        <w:t>m Ort</w:t>
      </w:r>
      <w:r w:rsidR="00276C98" w:rsidRPr="00276C98">
        <w:rPr>
          <w:sz w:val="24"/>
          <w:szCs w:val="24"/>
        </w:rPr>
        <w:t xml:space="preserve"> Barmen </w:t>
      </w:r>
      <w:r w:rsidR="00B40A49">
        <w:rPr>
          <w:sz w:val="24"/>
          <w:szCs w:val="24"/>
        </w:rPr>
        <w:t xml:space="preserve">(Wuppertal) </w:t>
      </w:r>
      <w:r w:rsidR="00276C98" w:rsidRPr="00276C98">
        <w:rPr>
          <w:sz w:val="24"/>
          <w:szCs w:val="24"/>
        </w:rPr>
        <w:t xml:space="preserve">vom 31. Mai 1934 ist die zentrale theologische Äußerung der Bekennenden Kirche </w:t>
      </w:r>
      <w:r w:rsidR="00B40A49">
        <w:rPr>
          <w:sz w:val="24"/>
          <w:szCs w:val="24"/>
        </w:rPr>
        <w:t>während</w:t>
      </w:r>
      <w:r w:rsidR="00276C98" w:rsidRPr="00276C98">
        <w:rPr>
          <w:sz w:val="24"/>
          <w:szCs w:val="24"/>
        </w:rPr>
        <w:t xml:space="preserve"> der nationalsozialistischen Herrschaft 1933-1945.  Sie richtet sich gegen die falsche Theologie und das Kirchenregime der so genannten „Deutschen Christen“</w:t>
      </w:r>
      <w:r w:rsidR="0048350E">
        <w:rPr>
          <w:sz w:val="24"/>
          <w:szCs w:val="24"/>
        </w:rPr>
        <w:t xml:space="preserve"> (DC)</w:t>
      </w:r>
      <w:r w:rsidR="00276C98" w:rsidRPr="00276C98">
        <w:rPr>
          <w:sz w:val="24"/>
          <w:szCs w:val="24"/>
        </w:rPr>
        <w:t xml:space="preserve">, die damit begonnen hatten, die evangelische Kirche der Diktatur des „Führers“ </w:t>
      </w:r>
      <w:r w:rsidR="00B40A49">
        <w:rPr>
          <w:sz w:val="24"/>
          <w:szCs w:val="24"/>
        </w:rPr>
        <w:t>zu unterwerfen</w:t>
      </w:r>
      <w:r w:rsidR="00276C98" w:rsidRPr="00276C98">
        <w:rPr>
          <w:sz w:val="24"/>
          <w:szCs w:val="24"/>
        </w:rPr>
        <w:t xml:space="preserve">.  </w:t>
      </w:r>
    </w:p>
    <w:p w:rsidR="00847C50" w:rsidRPr="0048350E" w:rsidRDefault="00B40A49" w:rsidP="00847C50">
      <w:pPr>
        <w:rPr>
          <w:b/>
          <w:bCs/>
          <w:sz w:val="24"/>
          <w:szCs w:val="24"/>
        </w:rPr>
      </w:pPr>
      <w:r>
        <w:rPr>
          <w:b/>
          <w:bCs/>
          <w:sz w:val="24"/>
          <w:szCs w:val="24"/>
        </w:rPr>
        <w:t>Gliederung</w:t>
      </w:r>
    </w:p>
    <w:p w:rsidR="00B40A49" w:rsidRPr="00FD5B04" w:rsidRDefault="00B40A49" w:rsidP="00847C50">
      <w:pPr>
        <w:rPr>
          <w:b/>
          <w:bCs/>
          <w:i/>
          <w:iCs/>
          <w:sz w:val="28"/>
          <w:szCs w:val="28"/>
        </w:rPr>
      </w:pPr>
      <w:r w:rsidRPr="00FD5B04">
        <w:rPr>
          <w:b/>
          <w:bCs/>
          <w:i/>
          <w:iCs/>
          <w:sz w:val="28"/>
          <w:szCs w:val="28"/>
        </w:rPr>
        <w:t>Präambel</w:t>
      </w:r>
    </w:p>
    <w:p w:rsidR="00847C50" w:rsidRPr="00FD5B04" w:rsidRDefault="00847C50" w:rsidP="00847C50">
      <w:pPr>
        <w:rPr>
          <w:i/>
          <w:iCs/>
          <w:sz w:val="28"/>
          <w:szCs w:val="28"/>
        </w:rPr>
      </w:pPr>
      <w:r w:rsidRPr="00FD5B04">
        <w:rPr>
          <w:i/>
          <w:iCs/>
          <w:sz w:val="28"/>
          <w:szCs w:val="28"/>
        </w:rPr>
        <w:t xml:space="preserve">„Die Deutsche Evangelische Kirche ist ein Bund der aus der Reformation erwachsenen, gleichberechtigt </w:t>
      </w:r>
      <w:proofErr w:type="gramStart"/>
      <w:r w:rsidRPr="00FD5B04">
        <w:rPr>
          <w:i/>
          <w:iCs/>
          <w:sz w:val="28"/>
          <w:szCs w:val="28"/>
        </w:rPr>
        <w:t>nebeneinander stehenden</w:t>
      </w:r>
      <w:proofErr w:type="gramEnd"/>
      <w:r w:rsidRPr="00FD5B04">
        <w:rPr>
          <w:i/>
          <w:iCs/>
          <w:sz w:val="28"/>
          <w:szCs w:val="28"/>
        </w:rPr>
        <w:t xml:space="preserve"> Bekenntniskirchen. […] Art. 1: Die unantastbare Grundlage der Deutschen Evangelischen Kirche ist das Evangelium von Jesus Christus, wie es uns in der Heiligen Schrift bezeugt und in den Bekenntnissen der Reformation neu ans Licht getreten ist.“</w:t>
      </w:r>
    </w:p>
    <w:p w:rsidR="00847C50" w:rsidRPr="00847C50" w:rsidRDefault="00B40A49" w:rsidP="00B40A49">
      <w:pPr>
        <w:shd w:val="clear" w:color="auto" w:fill="E7E6E6" w:themeFill="background2"/>
        <w:rPr>
          <w:sz w:val="24"/>
          <w:szCs w:val="24"/>
        </w:rPr>
      </w:pPr>
      <w:r>
        <w:rPr>
          <w:sz w:val="24"/>
          <w:szCs w:val="24"/>
        </w:rPr>
        <w:t xml:space="preserve">Erläuterung: </w:t>
      </w:r>
      <w:r w:rsidR="00847C50" w:rsidRPr="00847C50">
        <w:rPr>
          <w:sz w:val="24"/>
          <w:szCs w:val="24"/>
        </w:rPr>
        <w:t>Die Vertreter aller Landeskirchen hatten einstimmig einen föderalen Bund gleichberechtigter Bekenntniskirchen beschlossen und damit die von den D</w:t>
      </w:r>
      <w:r w:rsidR="0048350E">
        <w:rPr>
          <w:sz w:val="24"/>
          <w:szCs w:val="24"/>
        </w:rPr>
        <w:t>C</w:t>
      </w:r>
      <w:r w:rsidR="00847C50" w:rsidRPr="00847C50">
        <w:rPr>
          <w:sz w:val="24"/>
          <w:szCs w:val="24"/>
        </w:rPr>
        <w:t xml:space="preserve"> angestrebte Nationalkirche ohne Bekenntnisbindung abgelehnt. Diesen Beschluss hatte die Regierung am 14. Juli 1933 anerkannt. Somit konnte sich die Barmer Synode zu Recht auf die geltende Verfassung </w:t>
      </w:r>
      <w:r>
        <w:rPr>
          <w:sz w:val="24"/>
          <w:szCs w:val="24"/>
        </w:rPr>
        <w:t xml:space="preserve">des Deutschen evangelischen Kirchenbundes (DEK) </w:t>
      </w:r>
      <w:r w:rsidR="00847C50" w:rsidRPr="00847C50">
        <w:rPr>
          <w:sz w:val="24"/>
          <w:szCs w:val="24"/>
        </w:rPr>
        <w:t>berufen, die die ausschließliche Bindung</w:t>
      </w:r>
      <w:r>
        <w:rPr>
          <w:sz w:val="24"/>
          <w:szCs w:val="24"/>
        </w:rPr>
        <w:t xml:space="preserve"> der Kirche</w:t>
      </w:r>
      <w:r w:rsidR="00847C50" w:rsidRPr="00847C50">
        <w:rPr>
          <w:sz w:val="24"/>
          <w:szCs w:val="24"/>
        </w:rPr>
        <w:t xml:space="preserve"> an Jesus Christus gemäß dem Zeugnis der Bibel und der reformatorischen Auslegung </w:t>
      </w:r>
      <w:r>
        <w:rPr>
          <w:sz w:val="24"/>
          <w:szCs w:val="24"/>
        </w:rPr>
        <w:t>bereits</w:t>
      </w:r>
      <w:r w:rsidR="00847C50" w:rsidRPr="00847C50">
        <w:rPr>
          <w:sz w:val="24"/>
          <w:szCs w:val="24"/>
        </w:rPr>
        <w:t xml:space="preserve"> </w:t>
      </w:r>
      <w:r>
        <w:rPr>
          <w:sz w:val="24"/>
          <w:szCs w:val="24"/>
        </w:rPr>
        <w:t>zur Sprache brachte</w:t>
      </w:r>
      <w:r w:rsidR="00847C50" w:rsidRPr="00847C50">
        <w:rPr>
          <w:sz w:val="24"/>
          <w:szCs w:val="24"/>
        </w:rPr>
        <w:t xml:space="preserve">. </w:t>
      </w:r>
      <w:r w:rsidR="008D1126">
        <w:rPr>
          <w:sz w:val="24"/>
          <w:szCs w:val="24"/>
        </w:rPr>
        <w:t xml:space="preserve"> </w:t>
      </w:r>
      <w:r w:rsidR="00847C50" w:rsidRPr="00847C50">
        <w:rPr>
          <w:sz w:val="24"/>
          <w:szCs w:val="24"/>
        </w:rPr>
        <w:t>Dann beschrieb die Präambel die damals aktuelle Lage: Die Einheit der DEK sei „aufs schwerste gefährdet“ durch die Lehr- und Handlungsweise der DC und ihres Kirchenregiments (Ludwig Müller).</w:t>
      </w:r>
    </w:p>
    <w:p w:rsidR="00847C50" w:rsidRPr="00FD5B04" w:rsidRDefault="00847C50" w:rsidP="00B40A49">
      <w:pPr>
        <w:shd w:val="clear" w:color="auto" w:fill="FFFFFF" w:themeFill="background1"/>
        <w:rPr>
          <w:i/>
          <w:iCs/>
          <w:sz w:val="28"/>
          <w:szCs w:val="28"/>
        </w:rPr>
      </w:pPr>
      <w:r w:rsidRPr="00FD5B04">
        <w:rPr>
          <w:i/>
          <w:iCs/>
          <w:sz w:val="28"/>
          <w:szCs w:val="28"/>
        </w:rPr>
        <w:t>„Diese Bedrohung besteht darin, dass die theologische Voraussetzung, in der die Deutsche Evangelische Kirche vereinigt ist, sowohl seitens der Führer und Sprecher der Deutschen Christen als auch seitens des Kirchenregimentes dauernd und grundsätzlich durch fremde Voraussetzungen durchkreuzt und unwirksam gemacht wird. Bei deren Geltung hört die Kirche nach allen bei uns in Kraft stehenden Bekenntnissen auf, Kirche zu sein.“</w:t>
      </w:r>
    </w:p>
    <w:p w:rsidR="00847C50" w:rsidRPr="00847C50" w:rsidRDefault="00847C50" w:rsidP="00B40A49">
      <w:pPr>
        <w:shd w:val="clear" w:color="auto" w:fill="E7E6E6" w:themeFill="background2"/>
        <w:rPr>
          <w:sz w:val="24"/>
          <w:szCs w:val="24"/>
        </w:rPr>
      </w:pPr>
      <w:r w:rsidRPr="00847C50">
        <w:rPr>
          <w:sz w:val="24"/>
          <w:szCs w:val="24"/>
        </w:rPr>
        <w:t>Darum sei eine gemeinsame Erklärung der lutherischen, reformierten und unierten Kirchen jetzt nötig:</w:t>
      </w:r>
    </w:p>
    <w:p w:rsidR="00847C50" w:rsidRPr="00B40A49" w:rsidRDefault="00847C50" w:rsidP="00B40A49">
      <w:pPr>
        <w:shd w:val="clear" w:color="auto" w:fill="FFFFFF" w:themeFill="background1"/>
        <w:rPr>
          <w:i/>
          <w:iCs/>
          <w:sz w:val="24"/>
          <w:szCs w:val="24"/>
        </w:rPr>
      </w:pPr>
      <w:r w:rsidRPr="00FD5B04">
        <w:rPr>
          <w:i/>
          <w:iCs/>
          <w:sz w:val="28"/>
          <w:szCs w:val="28"/>
        </w:rPr>
        <w:lastRenderedPageBreak/>
        <w:t>„</w:t>
      </w:r>
      <w:proofErr w:type="gramStart"/>
      <w:r w:rsidRPr="00FD5B04">
        <w:rPr>
          <w:i/>
          <w:iCs/>
          <w:sz w:val="28"/>
          <w:szCs w:val="28"/>
        </w:rPr>
        <w:t>Gerade</w:t>
      </w:r>
      <w:proofErr w:type="gramEnd"/>
      <w:r w:rsidRPr="00FD5B04">
        <w:rPr>
          <w:i/>
          <w:iCs/>
          <w:sz w:val="28"/>
          <w:szCs w:val="28"/>
        </w:rPr>
        <w:t xml:space="preserve"> weil wir unseren verschiedenen Bekenntnissen treu sein und bleiben wollen, dürfen wir nicht schweigen, da wir glauben, dass uns in einer Zeit gemeinsamer Not und Anfechtung ein gemeinsames Wort in den Mund gelegt ist. Wir befehlen es Gott, was dies für das Verhältnis der Bekenntniskirchen untereinander bedeuten mag. Wir bekennen uns angesichts der die Kirche verwüstenden und damit auch die Einheit der Deutschen Evangelischen Kirche sprengenden Irrtümer der Deutschen Christen und der gegenwärtigen Reichskirchenregierung zu folgenden evangelischen Wahrheiten:“</w:t>
      </w:r>
    </w:p>
    <w:p w:rsidR="00847C50" w:rsidRPr="00847C50" w:rsidRDefault="00847C50" w:rsidP="00B40A49">
      <w:pPr>
        <w:shd w:val="clear" w:color="auto" w:fill="E7E6E6" w:themeFill="background2"/>
        <w:rPr>
          <w:sz w:val="24"/>
          <w:szCs w:val="24"/>
        </w:rPr>
      </w:pPr>
      <w:r w:rsidRPr="00847C50">
        <w:rPr>
          <w:sz w:val="24"/>
          <w:szCs w:val="24"/>
        </w:rPr>
        <w:t>Die folgenden sechs Barmer Thesen begannen gemäß Art. 1 der DEK-Verfassung mit dem Bekenntnis zu Jesus Christus. Dieser begründe als das eine Wort Gottes (I) und der eine Herr aller Lebensbereiche (II) die Gestalt und den Zeugnisauftrag der Kirche (III), ihre Ämter und deren Zweck (IV), die Aufgabe des Staates (V) und die Botschaft der freien Gnade als Aufgabe der Kirche gegenüber dem Staat (VI). Jede These stellt eine biblische Begründung voran und dann eine positive Lehraussage einer negativen Verwerfung gegenüber, die sie als falsche Lehre (Häresie) kennzeichnet. So macht schon dieser Aufbau den unbedingten Vorrang Jesu Christi nach biblischem Zeugnis als Grundlage, Quelle und Wahrheitskriterium aller Thesen deutlich.</w:t>
      </w:r>
    </w:p>
    <w:p w:rsidR="00847C50" w:rsidRPr="00847C50" w:rsidRDefault="00847C50" w:rsidP="00B40A49">
      <w:pPr>
        <w:shd w:val="clear" w:color="auto" w:fill="E7E6E6" w:themeFill="background2"/>
        <w:rPr>
          <w:sz w:val="24"/>
          <w:szCs w:val="24"/>
        </w:rPr>
      </w:pPr>
      <w:r w:rsidRPr="00847C50">
        <w:rPr>
          <w:sz w:val="24"/>
          <w:szCs w:val="24"/>
        </w:rPr>
        <w:t>Der Epilog betonte, die Anerkennung dieser Thesen und Verwerfung der darin benannten Irrlehren sei „die unumgängliche theologische Grundlage der Deutschen Evangelischen Kirche als eines Bundes der Bekenntniskirchen“, also identisch mit deren Verfassung und verbindlich für die Kirchenpolitik. Zuletzt lud die Synode die DC-Gegner ein:</w:t>
      </w:r>
    </w:p>
    <w:p w:rsidR="00847C50" w:rsidRPr="00FD5B04" w:rsidRDefault="00847C50" w:rsidP="00847C50">
      <w:pPr>
        <w:rPr>
          <w:i/>
          <w:iCs/>
          <w:sz w:val="28"/>
          <w:szCs w:val="28"/>
        </w:rPr>
      </w:pPr>
      <w:r w:rsidRPr="00FD5B04">
        <w:rPr>
          <w:i/>
          <w:iCs/>
          <w:sz w:val="28"/>
          <w:szCs w:val="28"/>
        </w:rPr>
        <w:t>„Sie bittet alle, die es angeht, in die Einheit des Glaubens, der Liebe und der Hoffnung zurückzukehren.</w:t>
      </w:r>
    </w:p>
    <w:p w:rsidR="00847C50" w:rsidRPr="00FD5B04" w:rsidRDefault="00847C50" w:rsidP="00847C50">
      <w:pPr>
        <w:rPr>
          <w:i/>
          <w:iCs/>
          <w:sz w:val="28"/>
          <w:szCs w:val="28"/>
        </w:rPr>
      </w:pPr>
      <w:r w:rsidRPr="00FD5B04">
        <w:rPr>
          <w:i/>
          <w:iCs/>
          <w:sz w:val="28"/>
          <w:szCs w:val="28"/>
        </w:rPr>
        <w:t xml:space="preserve">Verbum </w:t>
      </w:r>
      <w:proofErr w:type="spellStart"/>
      <w:r w:rsidRPr="00FD5B04">
        <w:rPr>
          <w:i/>
          <w:iCs/>
          <w:sz w:val="28"/>
          <w:szCs w:val="28"/>
        </w:rPr>
        <w:t>dei</w:t>
      </w:r>
      <w:proofErr w:type="spellEnd"/>
      <w:r w:rsidRPr="00FD5B04">
        <w:rPr>
          <w:i/>
          <w:iCs/>
          <w:sz w:val="28"/>
          <w:szCs w:val="28"/>
        </w:rPr>
        <w:t xml:space="preserve"> </w:t>
      </w:r>
      <w:proofErr w:type="spellStart"/>
      <w:r w:rsidRPr="00FD5B04">
        <w:rPr>
          <w:i/>
          <w:iCs/>
          <w:sz w:val="28"/>
          <w:szCs w:val="28"/>
        </w:rPr>
        <w:t>manet</w:t>
      </w:r>
      <w:proofErr w:type="spellEnd"/>
      <w:r w:rsidRPr="00FD5B04">
        <w:rPr>
          <w:i/>
          <w:iCs/>
          <w:sz w:val="28"/>
          <w:szCs w:val="28"/>
        </w:rPr>
        <w:t xml:space="preserve"> in aeternum“</w:t>
      </w:r>
    </w:p>
    <w:p w:rsidR="00847C50" w:rsidRPr="00847C50" w:rsidRDefault="00847C50" w:rsidP="00847C50">
      <w:pPr>
        <w:rPr>
          <w:sz w:val="24"/>
          <w:szCs w:val="24"/>
        </w:rPr>
      </w:pPr>
      <w:r w:rsidRPr="00847C50">
        <w:rPr>
          <w:sz w:val="24"/>
          <w:szCs w:val="24"/>
        </w:rPr>
        <w:t xml:space="preserve">Dieser lateinische Satz – übersetzt „Gottes Wort bleibt in Ewigkeit“ – ist der einzige Anklang an eine alttestamentliche Bibelstelle (Jes 40,8; vgl. </w:t>
      </w:r>
      <w:proofErr w:type="spellStart"/>
      <w:r w:rsidRPr="00847C50">
        <w:rPr>
          <w:sz w:val="24"/>
          <w:szCs w:val="24"/>
        </w:rPr>
        <w:t>Ps</w:t>
      </w:r>
      <w:proofErr w:type="spellEnd"/>
      <w:r w:rsidRPr="00847C50">
        <w:rPr>
          <w:sz w:val="24"/>
          <w:szCs w:val="24"/>
        </w:rPr>
        <w:t xml:space="preserve"> 119,89</w:t>
      </w:r>
      <w:r w:rsidR="008D1126">
        <w:rPr>
          <w:sz w:val="24"/>
          <w:szCs w:val="24"/>
        </w:rPr>
        <w:t>;</w:t>
      </w:r>
      <w:r w:rsidRPr="00847C50">
        <w:rPr>
          <w:sz w:val="24"/>
          <w:szCs w:val="24"/>
        </w:rPr>
        <w:t xml:space="preserve"> 1Petr 1,25)</w:t>
      </w:r>
      <w:r w:rsidR="00B40A49">
        <w:rPr>
          <w:sz w:val="24"/>
          <w:szCs w:val="24"/>
        </w:rPr>
        <w:t>.</w:t>
      </w:r>
      <w:r w:rsidRPr="00847C50">
        <w:rPr>
          <w:sz w:val="24"/>
          <w:szCs w:val="24"/>
        </w:rPr>
        <w:t xml:space="preserve"> </w:t>
      </w:r>
    </w:p>
    <w:p w:rsidR="00847C50" w:rsidRPr="00847C50" w:rsidRDefault="00847C50" w:rsidP="00847C50">
      <w:pPr>
        <w:rPr>
          <w:sz w:val="24"/>
          <w:szCs w:val="24"/>
        </w:rPr>
      </w:pPr>
    </w:p>
    <w:p w:rsidR="00847C50" w:rsidRPr="00FD5B04" w:rsidRDefault="00847C50" w:rsidP="00847C50">
      <w:pPr>
        <w:rPr>
          <w:b/>
          <w:bCs/>
          <w:i/>
          <w:iCs/>
          <w:sz w:val="28"/>
          <w:szCs w:val="28"/>
        </w:rPr>
      </w:pPr>
      <w:r w:rsidRPr="00FD5B04">
        <w:rPr>
          <w:b/>
          <w:bCs/>
          <w:i/>
          <w:iCs/>
          <w:sz w:val="28"/>
          <w:szCs w:val="28"/>
        </w:rPr>
        <w:t>Die Thesen</w:t>
      </w:r>
    </w:p>
    <w:p w:rsidR="00847C50" w:rsidRPr="00FD5B04" w:rsidRDefault="00847C50" w:rsidP="00847C50">
      <w:pPr>
        <w:rPr>
          <w:i/>
          <w:iCs/>
          <w:sz w:val="28"/>
          <w:szCs w:val="28"/>
        </w:rPr>
      </w:pPr>
      <w:proofErr w:type="gramStart"/>
      <w:r w:rsidRPr="00FD5B04">
        <w:rPr>
          <w:i/>
          <w:iCs/>
          <w:sz w:val="28"/>
          <w:szCs w:val="28"/>
        </w:rPr>
        <w:t>I</w:t>
      </w:r>
      <w:r w:rsidR="00B40A49" w:rsidRPr="00FD5B04">
        <w:rPr>
          <w:i/>
          <w:iCs/>
          <w:sz w:val="28"/>
          <w:szCs w:val="28"/>
        </w:rPr>
        <w:t xml:space="preserve"> .</w:t>
      </w:r>
      <w:proofErr w:type="gramEnd"/>
      <w:r w:rsidR="00B40A49" w:rsidRPr="00FD5B04">
        <w:rPr>
          <w:i/>
          <w:iCs/>
          <w:sz w:val="28"/>
          <w:szCs w:val="28"/>
        </w:rPr>
        <w:t xml:space="preserve"> </w:t>
      </w:r>
      <w:r w:rsidRPr="00FD5B04">
        <w:rPr>
          <w:i/>
          <w:iCs/>
          <w:sz w:val="28"/>
          <w:szCs w:val="28"/>
        </w:rPr>
        <w:t>Jesus Christus spricht: Ich bin der Weg und die Wahrheit und das Leben; niemand kommt zum Vater denn durch mich. (Joh 14,6)</w:t>
      </w:r>
    </w:p>
    <w:p w:rsidR="00847C50" w:rsidRPr="00FD5B04" w:rsidRDefault="00847C50" w:rsidP="00847C50">
      <w:pPr>
        <w:rPr>
          <w:i/>
          <w:iCs/>
          <w:sz w:val="28"/>
          <w:szCs w:val="28"/>
        </w:rPr>
      </w:pPr>
      <w:r w:rsidRPr="00FD5B04">
        <w:rPr>
          <w:i/>
          <w:iCs/>
          <w:sz w:val="28"/>
          <w:szCs w:val="28"/>
        </w:rPr>
        <w:t>Wahrlich, wahrlich, ich sage euch: Wer nicht zur Tür hineingeht in den Schafstall, sondern steigt anderswo hinein, der ist ein Dieb und Räuber. Ich bin die Tür; wenn jemand durch mich hineingeht, wird er selig werden. (Joh 10,1.9)</w:t>
      </w:r>
    </w:p>
    <w:p w:rsidR="00847C50" w:rsidRPr="00FD5B04" w:rsidRDefault="00847C50" w:rsidP="00847C50">
      <w:pPr>
        <w:rPr>
          <w:i/>
          <w:iCs/>
          <w:sz w:val="28"/>
          <w:szCs w:val="28"/>
        </w:rPr>
      </w:pPr>
      <w:r w:rsidRPr="00FD5B04">
        <w:rPr>
          <w:i/>
          <w:iCs/>
          <w:sz w:val="28"/>
          <w:szCs w:val="28"/>
        </w:rPr>
        <w:t>„Jesus Christus, wie er uns in der Heiligen Schrift bezeugt wird, ist das eine Wort Gottes, das wir zu hören, dem wir im Leben und im Sterben zu vertrauen und zu gehorchen haben.</w:t>
      </w:r>
    </w:p>
    <w:p w:rsidR="00847C50" w:rsidRPr="00FD5B04" w:rsidRDefault="00847C50" w:rsidP="00847C50">
      <w:pPr>
        <w:rPr>
          <w:i/>
          <w:iCs/>
          <w:sz w:val="28"/>
          <w:szCs w:val="28"/>
        </w:rPr>
      </w:pPr>
      <w:r w:rsidRPr="00FD5B04">
        <w:rPr>
          <w:i/>
          <w:iCs/>
          <w:sz w:val="28"/>
          <w:szCs w:val="28"/>
        </w:rPr>
        <w:lastRenderedPageBreak/>
        <w:t>Wir verwerfen die falsche Lehre, als könne und müsse die Kirche als Quelle ihrer Verkündigung außer und neben diesem einen Worte Gottes auch noch andere Ereignisse und Mächte, Gestalten und Wahrheiten als Gottes Offenbarung anerkennen.“</w:t>
      </w:r>
    </w:p>
    <w:p w:rsidR="00847C50" w:rsidRPr="00847C50" w:rsidRDefault="00B40A49" w:rsidP="00B40A49">
      <w:pPr>
        <w:shd w:val="clear" w:color="auto" w:fill="E7E6E6" w:themeFill="background2"/>
        <w:rPr>
          <w:sz w:val="24"/>
          <w:szCs w:val="24"/>
        </w:rPr>
      </w:pPr>
      <w:r>
        <w:rPr>
          <w:sz w:val="24"/>
          <w:szCs w:val="24"/>
        </w:rPr>
        <w:t xml:space="preserve">Der These sind </w:t>
      </w:r>
      <w:r w:rsidR="00847C50" w:rsidRPr="00847C50">
        <w:rPr>
          <w:sz w:val="24"/>
          <w:szCs w:val="24"/>
        </w:rPr>
        <w:t xml:space="preserve">Zwei Ich-bin-Worte </w:t>
      </w:r>
      <w:r>
        <w:rPr>
          <w:sz w:val="24"/>
          <w:szCs w:val="24"/>
        </w:rPr>
        <w:t xml:space="preserve">Jesu aus dem </w:t>
      </w:r>
      <w:proofErr w:type="spellStart"/>
      <w:r>
        <w:rPr>
          <w:sz w:val="24"/>
          <w:szCs w:val="24"/>
        </w:rPr>
        <w:t>Johanensevangelium</w:t>
      </w:r>
      <w:proofErr w:type="spellEnd"/>
      <w:r>
        <w:rPr>
          <w:sz w:val="24"/>
          <w:szCs w:val="24"/>
        </w:rPr>
        <w:t xml:space="preserve"> v</w:t>
      </w:r>
      <w:r w:rsidR="00847C50" w:rsidRPr="00847C50">
        <w:rPr>
          <w:sz w:val="24"/>
          <w:szCs w:val="24"/>
        </w:rPr>
        <w:t>orangestellt</w:t>
      </w:r>
      <w:r>
        <w:rPr>
          <w:sz w:val="24"/>
          <w:szCs w:val="24"/>
        </w:rPr>
        <w:t>. Denn die erste will verdeutlichen: hier geht es nicht um eine</w:t>
      </w:r>
      <w:r w:rsidR="00847C50" w:rsidRPr="00847C50">
        <w:rPr>
          <w:sz w:val="24"/>
          <w:szCs w:val="24"/>
        </w:rPr>
        <w:t xml:space="preserve"> menschliche Selbstermächtigung, sondern </w:t>
      </w:r>
      <w:r>
        <w:rPr>
          <w:sz w:val="24"/>
          <w:szCs w:val="24"/>
        </w:rPr>
        <w:t xml:space="preserve">um eine Kirche, die </w:t>
      </w:r>
      <w:r w:rsidR="00847C50" w:rsidRPr="00847C50">
        <w:rPr>
          <w:sz w:val="24"/>
          <w:szCs w:val="24"/>
        </w:rPr>
        <w:t xml:space="preserve">Jesu Christi eigenes Wort bezeugen und beantworten will. Er allein sei der Weg zu Gott, weil Gott in ihm als Mensch zu den Menschen gekommen sei (Joh 1,14): Wer anderes behaupte, raube den Menschen die Wahrheit und das Leben. Darum spitzt These I Artikel 1 der DEK-Verfassung zu: Jesus Christus sei das </w:t>
      </w:r>
      <w:r w:rsidR="00847C50" w:rsidRPr="00B40A49">
        <w:rPr>
          <w:b/>
          <w:bCs/>
          <w:sz w:val="24"/>
          <w:szCs w:val="24"/>
        </w:rPr>
        <w:t xml:space="preserve">eine </w:t>
      </w:r>
      <w:r w:rsidR="00847C50" w:rsidRPr="00847C50">
        <w:rPr>
          <w:sz w:val="24"/>
          <w:szCs w:val="24"/>
        </w:rPr>
        <w:t>Wort Gottes, dem „wir“, alle Christen, im Leben und Sterben zu vertrauen und zu gehorchen hätten.</w:t>
      </w:r>
    </w:p>
    <w:p w:rsidR="00847C50" w:rsidRPr="00847C50" w:rsidRDefault="00847C50" w:rsidP="00B40A49">
      <w:pPr>
        <w:shd w:val="clear" w:color="auto" w:fill="E7E6E6" w:themeFill="background2"/>
        <w:rPr>
          <w:sz w:val="24"/>
          <w:szCs w:val="24"/>
        </w:rPr>
      </w:pPr>
      <w:r w:rsidRPr="00847C50">
        <w:rPr>
          <w:sz w:val="24"/>
          <w:szCs w:val="24"/>
        </w:rPr>
        <w:t xml:space="preserve">Diese Schärfe war laut Karl Barths Vortrag nach der Synode (9. Juni 1934) </w:t>
      </w:r>
      <w:r w:rsidR="00B40A49">
        <w:rPr>
          <w:sz w:val="24"/>
          <w:szCs w:val="24"/>
        </w:rPr>
        <w:t>notwendig</w:t>
      </w:r>
      <w:r w:rsidRPr="00847C50">
        <w:rPr>
          <w:sz w:val="24"/>
          <w:szCs w:val="24"/>
        </w:rPr>
        <w:t>, damit die Kirche das erste der Zehn Gebote für sich gelten ließ: „Ich bin der Herr dein Gott…“ (</w:t>
      </w:r>
      <w:r w:rsidR="00B40A49">
        <w:rPr>
          <w:sz w:val="24"/>
          <w:szCs w:val="24"/>
        </w:rPr>
        <w:t>2Mose 20,2)</w:t>
      </w:r>
      <w:r w:rsidRPr="00847C50">
        <w:rPr>
          <w:sz w:val="24"/>
          <w:szCs w:val="24"/>
        </w:rPr>
        <w:t xml:space="preserve">. Jesus Christus als einzige Offenbarung Gottes anzuerkennen heiße zugleich, </w:t>
      </w:r>
      <w:r w:rsidR="00B40A49">
        <w:rPr>
          <w:sz w:val="24"/>
          <w:szCs w:val="24"/>
        </w:rPr>
        <w:t>den Herrn</w:t>
      </w:r>
      <w:r w:rsidRPr="00847C50">
        <w:rPr>
          <w:sz w:val="24"/>
          <w:szCs w:val="24"/>
        </w:rPr>
        <w:t xml:space="preserve">, den Gott Israels, als den einzigen Herrn der Kirche anzuerkennen. Andere Mächte dieser Welt seien damit unbestritten, aber ihr Geltungsanspruch für die Kirche sei unbedingt abzuweisen. Dies hatte Barth in seinem Aufsatz </w:t>
      </w:r>
      <w:r w:rsidRPr="00B40A49">
        <w:rPr>
          <w:i/>
          <w:iCs/>
          <w:sz w:val="24"/>
          <w:szCs w:val="24"/>
        </w:rPr>
        <w:t>Das erste Gebot als theologisches Axiom</w:t>
      </w:r>
      <w:r w:rsidRPr="00847C50">
        <w:rPr>
          <w:sz w:val="24"/>
          <w:szCs w:val="24"/>
        </w:rPr>
        <w:t xml:space="preserve"> ausgeführt, den er kurz nach dem Ermächtigungsgesetz im März 1933 gegen die Hitler-Begeisterung der meisten Protestanten und die Vergötzung von Größen wie Volkstum, Rasse, Nation und Staat verfasst hatte.</w:t>
      </w:r>
    </w:p>
    <w:p w:rsidR="00847C50" w:rsidRPr="00847C50" w:rsidRDefault="00847C50" w:rsidP="00B40A49">
      <w:pPr>
        <w:shd w:val="clear" w:color="auto" w:fill="E7E6E6" w:themeFill="background2"/>
        <w:rPr>
          <w:sz w:val="24"/>
          <w:szCs w:val="24"/>
        </w:rPr>
      </w:pPr>
      <w:r w:rsidRPr="00847C50">
        <w:rPr>
          <w:sz w:val="24"/>
          <w:szCs w:val="24"/>
        </w:rPr>
        <w:t>Der Verweis auf die „Heilige Schrift“ machte die ganze Bibel für die Kirche verbindlich, um beliebig entstellte Jesusbilder ihrer Norm zu unterwerfen. Damit war ihre untrennbare Einheit als Altes (AT) und Neues Testament (NT) gemeint, die sich wechselseitig bedingen und auslegen, wie es Barths erste Barmer Erklärung vom Januar 1934 ausführte. Der Ausdruck „im Leben und im Sterben“ erinnerte an Röm 14,8 und die erste Frage im Heidelberger Katechismus. Die drei Verben „hören“, „vertrauen“, „gehorchen“ übersetzten das, was christlicher Glaube beinhaltet, nämlich aktive Nachfolge Jesu, und wiesen einen Glauben ohne entsprechendes Handeln strikt zurück.</w:t>
      </w:r>
    </w:p>
    <w:p w:rsidR="00847C50" w:rsidRPr="00847C50" w:rsidRDefault="00847C50" w:rsidP="00B40A49">
      <w:pPr>
        <w:shd w:val="clear" w:color="auto" w:fill="E7E6E6" w:themeFill="background2"/>
        <w:rPr>
          <w:sz w:val="24"/>
          <w:szCs w:val="24"/>
        </w:rPr>
      </w:pPr>
      <w:r w:rsidRPr="00847C50">
        <w:rPr>
          <w:sz w:val="24"/>
          <w:szCs w:val="24"/>
        </w:rPr>
        <w:t xml:space="preserve">Verworfen wird die „natürliche Theologie“, die die DC-Irrlehren ermöglicht hatte. Barth erläuterte im Juni 1934: Das Nein zu anderen Offenbarungsquellen schließe Wahrheiten außerhalb von Kirche und Christentum nicht aus, wohl aber, dass die Christen andere Mächte neben Jesus Christus als Gottes Offenbarung anzuerkennen, ihnen zu vertrauen und zu gehorchen hätten. Damit würden sie diese Mächte faktisch zu einem zweiten Gott machen. Doch indem Gott bestimmte Menschen (das Volk Israel) erwählt habe, habe er sich von allen Göttern unterschieden und ausgeschlossen, dass die erwählten Menschen sich ihre Götter </w:t>
      </w:r>
      <w:r w:rsidR="00FD5B04" w:rsidRPr="00847C50">
        <w:rPr>
          <w:sz w:val="24"/>
          <w:szCs w:val="24"/>
        </w:rPr>
        <w:t>selbst</w:t>
      </w:r>
      <w:r w:rsidRPr="00847C50">
        <w:rPr>
          <w:sz w:val="24"/>
          <w:szCs w:val="24"/>
        </w:rPr>
        <w:t xml:space="preserve"> wählen. Jesus Christus als das eine Wort Gottes mache es Christen also unmöglich, sich ihren Gott außerhalb der besonderen Geschichte Gottes mit seinem erwählten Volk zu suchen. Das Bekenntnis zu ihm schließe die Erwählung Israels ein, aber die eigenmächtige Wahl anderer Götter aus: Dieser Selbstunterscheidung Gottes könne die Kirche nur folgen, wenn sie Kirche Jesu Christi sein und bleiben wolle. Das war zuallererst ein </w:t>
      </w:r>
      <w:proofErr w:type="spellStart"/>
      <w:r w:rsidRPr="00847C50">
        <w:rPr>
          <w:sz w:val="24"/>
          <w:szCs w:val="24"/>
        </w:rPr>
        <w:t>Bußruf</w:t>
      </w:r>
      <w:proofErr w:type="spellEnd"/>
      <w:r w:rsidRPr="00847C50">
        <w:rPr>
          <w:sz w:val="24"/>
          <w:szCs w:val="24"/>
        </w:rPr>
        <w:t xml:space="preserve"> an die völkischen (rassistischen) Theologen in der DEK.</w:t>
      </w:r>
    </w:p>
    <w:p w:rsidR="00847C50" w:rsidRPr="00847C50" w:rsidRDefault="00847C50" w:rsidP="00B40A49">
      <w:pPr>
        <w:shd w:val="clear" w:color="auto" w:fill="E7E6E6" w:themeFill="background2"/>
        <w:rPr>
          <w:sz w:val="24"/>
          <w:szCs w:val="24"/>
        </w:rPr>
      </w:pPr>
      <w:r w:rsidRPr="00847C50">
        <w:rPr>
          <w:sz w:val="24"/>
          <w:szCs w:val="24"/>
        </w:rPr>
        <w:t xml:space="preserve">So schrieb Barths früherer Mitstreiter Friedrich </w:t>
      </w:r>
      <w:proofErr w:type="spellStart"/>
      <w:r w:rsidRPr="00847C50">
        <w:rPr>
          <w:sz w:val="24"/>
          <w:szCs w:val="24"/>
        </w:rPr>
        <w:t>Gogarten</w:t>
      </w:r>
      <w:proofErr w:type="spellEnd"/>
      <w:r w:rsidRPr="00847C50">
        <w:rPr>
          <w:sz w:val="24"/>
          <w:szCs w:val="24"/>
        </w:rPr>
        <w:t xml:space="preserve"> wie zuvor Wilhelm Stapel im Sommer 1933: „Das Gesetz Gottes ist für uns identisch mit dem Nomos des Dritten Reiches.“ Das war für Barth der „vollzogene Verrat am Evangelium“, so dass er sich von </w:t>
      </w:r>
      <w:proofErr w:type="spellStart"/>
      <w:r w:rsidRPr="00847C50">
        <w:rPr>
          <w:sz w:val="24"/>
          <w:szCs w:val="24"/>
        </w:rPr>
        <w:t>Gogarten</w:t>
      </w:r>
      <w:proofErr w:type="spellEnd"/>
      <w:r w:rsidRPr="00847C50">
        <w:rPr>
          <w:sz w:val="24"/>
          <w:szCs w:val="24"/>
        </w:rPr>
        <w:t xml:space="preserve"> und der Zeitschrift Zwischen den Zeiten trennte. Im Oktober 1934 bekräftigte Barth mit seinem schroffen „Nein!“ seinen unbedingten Widerspruch zu Emil Brunners Versuch, „Natur und Gnade“ (die angeblich </w:t>
      </w:r>
      <w:r w:rsidRPr="00847C50">
        <w:rPr>
          <w:sz w:val="24"/>
          <w:szCs w:val="24"/>
        </w:rPr>
        <w:lastRenderedPageBreak/>
        <w:t>natürlichen Ordnungen im Bereich der Politik als Rahmenbedingung zum Verstehen der Gnade Jesu Christi) auszugleichen.</w:t>
      </w:r>
    </w:p>
    <w:p w:rsidR="00847C50" w:rsidRPr="00847C50" w:rsidRDefault="00847C50" w:rsidP="00B40A49">
      <w:pPr>
        <w:shd w:val="clear" w:color="auto" w:fill="E7E6E6" w:themeFill="background2"/>
        <w:rPr>
          <w:sz w:val="24"/>
          <w:szCs w:val="24"/>
        </w:rPr>
      </w:pPr>
      <w:r w:rsidRPr="00847C50">
        <w:rPr>
          <w:sz w:val="24"/>
          <w:szCs w:val="24"/>
        </w:rPr>
        <w:t xml:space="preserve">Die abgewehrten Irrlehren der DC waren so bekannt, dass sie nicht eigens zitiert wurden. So behaupteten die DC seit 1932, „Rasse, Volkstum und Nation“ seien von Gott geschenkte, als „Gottes Gesetz“ zu erhaltende Lebensordnungen, die auch vor den „Untüchtigen und Minderwertigen“ zu schützen seien. Die evangelische Kirche müsse im „Entscheidungskampf um Sein oder Nichtsein unseres Volkes an der Spitze“ kämpfen. Sie müsse im Volkstum wurzeln und „den Geist eines christlichen Weltbürgertums“ ablehnen. Ab 1933 hieß es: „Der ewige Gott“ habe dem deutschen Volk „ein arteigenes Gesetz </w:t>
      </w:r>
      <w:proofErr w:type="spellStart"/>
      <w:r w:rsidRPr="00847C50">
        <w:rPr>
          <w:sz w:val="24"/>
          <w:szCs w:val="24"/>
        </w:rPr>
        <w:t>eingeschaffen</w:t>
      </w:r>
      <w:proofErr w:type="spellEnd"/>
      <w:r w:rsidRPr="00847C50">
        <w:rPr>
          <w:sz w:val="24"/>
          <w:szCs w:val="24"/>
        </w:rPr>
        <w:t>“, das im Führer Adolf Hitler und dem von ihm geformten NS-Staat Gestalt gewonnen habe. „Dieses Gesetz spricht zu uns in der aus Blut und Boden erwachsenen Geschichte unseres Volkes.“ Das AT sei gegenüber dem NT minderwertig und dokumentiere nur die „überwundene“ jüdische Volksreligion. Die Kreuzigung Jesu habe den Abfall der Juden von Gott vor aller Welt offenbar gemacht: „Von daher lastet der Fluch Gottes auf diesem Volke bis zum heutigen Tage.“ In Hitler sei „Christus, Gott der Helfer und Erlöser, unter uns mächtig geworden“. Hitler bzw. der Nationalsozialismus sei „jetzt der Weg des Geistes und Willens Gottes zur Christuskirche deutscher Nation“. Die DC-geführte Volkskirche Sachsens bekannte im Dezember 1933: „Weil die deutsche Volkskirche die Rasse als Schöpfung Gottes achtet, erkennt sie die Forderung, die Rasse rein und gesund zu erhalten, als Gottes Gebot“ und „im Totalitätsanspruch des nationalsozialistischen Staates den Ruf Gottes zu Familie, Volk und Staat.“</w:t>
      </w:r>
    </w:p>
    <w:p w:rsidR="00847C50" w:rsidRPr="00FD5B04" w:rsidRDefault="00847C50" w:rsidP="00847C50">
      <w:pPr>
        <w:rPr>
          <w:i/>
          <w:iCs/>
          <w:sz w:val="28"/>
          <w:szCs w:val="28"/>
        </w:rPr>
      </w:pPr>
      <w:r w:rsidRPr="00FD5B04">
        <w:rPr>
          <w:i/>
          <w:iCs/>
          <w:sz w:val="28"/>
          <w:szCs w:val="28"/>
        </w:rPr>
        <w:t>II</w:t>
      </w:r>
      <w:r w:rsidR="00FD5B04" w:rsidRPr="00FD5B04">
        <w:rPr>
          <w:i/>
          <w:iCs/>
          <w:sz w:val="28"/>
          <w:szCs w:val="28"/>
        </w:rPr>
        <w:t xml:space="preserve"> </w:t>
      </w:r>
      <w:r w:rsidRPr="00FD5B04">
        <w:rPr>
          <w:i/>
          <w:iCs/>
          <w:sz w:val="28"/>
          <w:szCs w:val="28"/>
        </w:rPr>
        <w:t>Durch Gott seid ihr in Christus Jesus, der uns von Gott gemacht ist zur Weisheit und zur Gerechtigkeit und zur Heiligung und zur Erlösung. (1 Kor 1,3)</w:t>
      </w:r>
    </w:p>
    <w:p w:rsidR="00847C50" w:rsidRPr="00FD5B04" w:rsidRDefault="00847C50" w:rsidP="00847C50">
      <w:pPr>
        <w:rPr>
          <w:i/>
          <w:iCs/>
          <w:sz w:val="28"/>
          <w:szCs w:val="28"/>
        </w:rPr>
      </w:pPr>
      <w:r w:rsidRPr="00FD5B04">
        <w:rPr>
          <w:i/>
          <w:iCs/>
          <w:sz w:val="28"/>
          <w:szCs w:val="28"/>
        </w:rPr>
        <w:t>„Wie Jesus Christus Gottes Zuspruch der Vergebung aller unserer Sünden ist, so und mit gleichem Ernst ist er auch Gottes kräftiger Anspruch auf unser ganzes Leben; durch ihn widerfährt uns frohe Befreiung aus den gottlosen Bindungen dieser Welt zu freiem, dankbarem Dienst an seinen Geschöpfen.</w:t>
      </w:r>
    </w:p>
    <w:p w:rsidR="00847C50" w:rsidRPr="00FD5B04" w:rsidRDefault="00847C50" w:rsidP="00847C50">
      <w:pPr>
        <w:rPr>
          <w:i/>
          <w:iCs/>
          <w:sz w:val="28"/>
          <w:szCs w:val="28"/>
        </w:rPr>
      </w:pPr>
      <w:r w:rsidRPr="00FD5B04">
        <w:rPr>
          <w:i/>
          <w:iCs/>
          <w:sz w:val="28"/>
          <w:szCs w:val="28"/>
        </w:rPr>
        <w:t>Wir verwerfen die falsche Lehre, als gebe es Bereiche unseres Lebens, in denen wir nicht Jesus Christus, sondern anderen Herren zu eigen wären, Bereiche, in denen wir nicht der Rechtfertigung und Heiligung durch ihn bedürften.“</w:t>
      </w:r>
    </w:p>
    <w:p w:rsidR="00847C50" w:rsidRPr="00847C50" w:rsidRDefault="00847C50" w:rsidP="008D1126">
      <w:pPr>
        <w:shd w:val="clear" w:color="auto" w:fill="F2F2F2" w:themeFill="background1" w:themeFillShade="F2"/>
        <w:rPr>
          <w:sz w:val="24"/>
          <w:szCs w:val="24"/>
        </w:rPr>
      </w:pPr>
      <w:r w:rsidRPr="00847C50">
        <w:rPr>
          <w:sz w:val="24"/>
          <w:szCs w:val="24"/>
        </w:rPr>
        <w:t xml:space="preserve">Das Eingangszitat bekräftigt, Jesus Christus sei Gottes „Weisheit“ für die Menschen, nämlich laut 1 Kor 1,1ff. </w:t>
      </w:r>
      <w:r w:rsidR="00FD5B04">
        <w:rPr>
          <w:sz w:val="24"/>
          <w:szCs w:val="24"/>
        </w:rPr>
        <w:t>D</w:t>
      </w:r>
      <w:r w:rsidRPr="00847C50">
        <w:rPr>
          <w:sz w:val="24"/>
          <w:szCs w:val="24"/>
        </w:rPr>
        <w:t>as „Wort vom Kreuz“, das die Weisheit der Mächtigen und Vornehmen durchkreuzt und als Torheit aufdeckt. Nicht die menschlichen Wünsche, Ansprüche und Leistungen definierten das Evangelium, sondern die Lebenshingabe des für uns gekreuzigten Jesus Christus. Diese enthalte alles weitere: Gerechtigkeit, Heiligung und Erlösung.</w:t>
      </w:r>
    </w:p>
    <w:p w:rsidR="00847C50" w:rsidRPr="00847C50" w:rsidRDefault="00847C50" w:rsidP="008D1126">
      <w:pPr>
        <w:shd w:val="clear" w:color="auto" w:fill="F2F2F2" w:themeFill="background1" w:themeFillShade="F2"/>
        <w:rPr>
          <w:sz w:val="24"/>
          <w:szCs w:val="24"/>
        </w:rPr>
      </w:pPr>
      <w:r w:rsidRPr="00847C50">
        <w:rPr>
          <w:sz w:val="24"/>
          <w:szCs w:val="24"/>
        </w:rPr>
        <w:t xml:space="preserve">These II übersetzt diese Begriffe: Gottes Gerechtigkeit sei sein Zuspruch der Vergebung, also sein Recht zur Gnade. Eben weil diese allen gelte, erhebe dieser Gott Anspruch auf unser ganzes Leben, beschlagnahme es völlig zur Nachfolge Jesu. Darum bedeute Erlösung aktuelle Befreiung aus allen gottlosen Bindungen (an Volk, Rasse, Staat, Führer…) zum freien, dankbaren Dienst an allen Geschöpfen, am Leben aller. So konkretisiert die These die traditionelle lutherische Unterscheidung von Gesetz und Evangelium kreuzestheologisch: Weil die Lebenshingabe Jesu Christi Gottes Gesetz </w:t>
      </w:r>
      <w:r w:rsidRPr="00847C50">
        <w:rPr>
          <w:sz w:val="24"/>
          <w:szCs w:val="24"/>
        </w:rPr>
        <w:lastRenderedPageBreak/>
        <w:t>stellvertretend für alle erfüllt habe, habe dieses Evangelium Vorrang vor dem Gesetz und qualifiziere es zum konkreten, aktuellen, alle Lebensbereiche beanspruchenden Gebot.</w:t>
      </w:r>
    </w:p>
    <w:p w:rsidR="00847C50" w:rsidRPr="00847C50" w:rsidRDefault="00847C50" w:rsidP="008D1126">
      <w:pPr>
        <w:shd w:val="clear" w:color="auto" w:fill="F2F2F2" w:themeFill="background1" w:themeFillShade="F2"/>
        <w:rPr>
          <w:sz w:val="24"/>
          <w:szCs w:val="24"/>
        </w:rPr>
      </w:pPr>
      <w:r w:rsidRPr="00847C50">
        <w:rPr>
          <w:sz w:val="24"/>
          <w:szCs w:val="24"/>
        </w:rPr>
        <w:t xml:space="preserve">Damit widersprach die These der damals gängigen Form der Zwei-Reiche-Lehre, Gottes Wort in zwei gegensätzliche Worte aufzuspalten, dem tötenden, richtenden Gesetz Vorrang zu geben, es mit vorfindlichen Ordnungsstrukturen zu identifizieren und diesen (etwa im Sinne Max Webers) eine nicht </w:t>
      </w:r>
      <w:proofErr w:type="spellStart"/>
      <w:r w:rsidRPr="00847C50">
        <w:rPr>
          <w:sz w:val="24"/>
          <w:szCs w:val="24"/>
        </w:rPr>
        <w:t>normierbare</w:t>
      </w:r>
      <w:proofErr w:type="spellEnd"/>
      <w:r w:rsidRPr="00847C50">
        <w:rPr>
          <w:sz w:val="24"/>
          <w:szCs w:val="24"/>
        </w:rPr>
        <w:t xml:space="preserve"> Eigengesetzlichkeit zuzuschreiben. Dies führte besonders in der NS-Zeit dazu, christliche Ethik auf reibungslose Unterwerfung unter die Staatsgesetze und bürgerliche, folgenlose Privatmoral zu beschränken und der Kirche jedes Recht zu Kritik an der Politik abzusprechen. So begrüßten viele lutherische Christen den autoritären, gnadenlosen, rassistischen NS-Staat als angebliche Gestalt des in der Geschichte wirkenden Gesetzes Gottes und sprachen sich von vornherein von Mitverantwortung für staatliches Unrecht frei.</w:t>
      </w:r>
    </w:p>
    <w:p w:rsidR="00847C50" w:rsidRPr="008D1126" w:rsidRDefault="00847C50" w:rsidP="00847C50">
      <w:pPr>
        <w:rPr>
          <w:sz w:val="28"/>
          <w:szCs w:val="28"/>
        </w:rPr>
      </w:pPr>
      <w:r w:rsidRPr="008D1126">
        <w:rPr>
          <w:sz w:val="28"/>
          <w:szCs w:val="28"/>
        </w:rPr>
        <w:t>III</w:t>
      </w:r>
    </w:p>
    <w:p w:rsidR="00847C50" w:rsidRPr="008D1126" w:rsidRDefault="00847C50" w:rsidP="00847C50">
      <w:pPr>
        <w:rPr>
          <w:sz w:val="28"/>
          <w:szCs w:val="28"/>
        </w:rPr>
      </w:pPr>
      <w:r w:rsidRPr="008D1126">
        <w:rPr>
          <w:sz w:val="28"/>
          <w:szCs w:val="28"/>
        </w:rPr>
        <w:t xml:space="preserve">Lasst uns aber wahrhaftig sein in der Liebe und wachsen in allen Stücken zu dem hin, der das Haupt ist, Christus, von dem </w:t>
      </w:r>
      <w:proofErr w:type="gramStart"/>
      <w:r w:rsidRPr="008D1126">
        <w:rPr>
          <w:sz w:val="28"/>
          <w:szCs w:val="28"/>
        </w:rPr>
        <w:t>aus der ganze Leib</w:t>
      </w:r>
      <w:proofErr w:type="gramEnd"/>
      <w:r w:rsidRPr="008D1126">
        <w:rPr>
          <w:sz w:val="28"/>
          <w:szCs w:val="28"/>
        </w:rPr>
        <w:t xml:space="preserve"> zusammengefügt ist. (</w:t>
      </w:r>
      <w:proofErr w:type="spellStart"/>
      <w:r w:rsidRPr="008D1126">
        <w:rPr>
          <w:sz w:val="28"/>
          <w:szCs w:val="28"/>
        </w:rPr>
        <w:t>Eph</w:t>
      </w:r>
      <w:proofErr w:type="spellEnd"/>
      <w:r w:rsidRPr="008D1126">
        <w:rPr>
          <w:sz w:val="28"/>
          <w:szCs w:val="28"/>
        </w:rPr>
        <w:t xml:space="preserve"> 4,15.16)</w:t>
      </w:r>
    </w:p>
    <w:p w:rsidR="00847C50" w:rsidRPr="008D1126" w:rsidRDefault="00847C50" w:rsidP="00847C50">
      <w:pPr>
        <w:rPr>
          <w:sz w:val="28"/>
          <w:szCs w:val="28"/>
        </w:rPr>
      </w:pPr>
      <w:r w:rsidRPr="008D1126">
        <w:rPr>
          <w:sz w:val="28"/>
          <w:szCs w:val="28"/>
        </w:rPr>
        <w:t>„Die christliche Kirche ist die Gemeinde von Brüdern, in der Jesus Christus in Wort und Sakrament durch den Heiligen Geist als der Herr gegenwärtig handelt. Sie hat mit ihrem Glauben wie mit ihrem Gehorsam, mit ihrer Botschaft wie mit ihrer Ordnung mitten in der Welt der Sünde als die Kirche der begnadigten Sünder zu bezeugen, dass sie allein sein Eigentum ist, allein von seinem Trost und von seiner Weisung in Erwartung seiner Erscheinung lebt und leben möchte.</w:t>
      </w:r>
    </w:p>
    <w:p w:rsidR="00847C50" w:rsidRPr="008D1126" w:rsidRDefault="00847C50" w:rsidP="00847C50">
      <w:pPr>
        <w:rPr>
          <w:sz w:val="28"/>
          <w:szCs w:val="28"/>
        </w:rPr>
      </w:pPr>
      <w:r w:rsidRPr="008D1126">
        <w:rPr>
          <w:sz w:val="28"/>
          <w:szCs w:val="28"/>
        </w:rPr>
        <w:t>Wir verwerfen die falsche Lehre, als dürfe die Kirche die Gestalt ihrer Botschaft und ihrer Ordnung ihrem Belieben oder dem Wechsel der jeweils herrschenden weltanschaulichen und politischen Überzeugungen überlassen.“</w:t>
      </w:r>
    </w:p>
    <w:p w:rsidR="00847C50" w:rsidRPr="00847C50" w:rsidRDefault="00847C50" w:rsidP="008D1126">
      <w:pPr>
        <w:shd w:val="clear" w:color="auto" w:fill="F2F2F2" w:themeFill="background1" w:themeFillShade="F2"/>
        <w:rPr>
          <w:sz w:val="24"/>
          <w:szCs w:val="24"/>
        </w:rPr>
      </w:pPr>
      <w:r w:rsidRPr="00847C50">
        <w:rPr>
          <w:sz w:val="24"/>
          <w:szCs w:val="24"/>
        </w:rPr>
        <w:t xml:space="preserve">These III folgt aus These I und II: Wird Jesus Christus als das eine Wort Gottes anerkannt, das andere Herren in der Kirche ausschließt, dann kann diese nur Gemeinschaft gleichberechtigter Geschwister sein. Die Wendung „Gemeinde von Brüdern“ schloss wie damals sprachlich üblich die Schwestern ein. Sie spielte auf Mk 3,32.34 EU und Mt 23,8.10 EU an: Die Gottes Willen befolgen, seien Jesu Brüder, Schwestern und Mutter; einer sei ihr Meister, sie alle seien „Brüder“. </w:t>
      </w:r>
      <w:proofErr w:type="spellStart"/>
      <w:r w:rsidRPr="00847C50">
        <w:rPr>
          <w:sz w:val="24"/>
          <w:szCs w:val="24"/>
        </w:rPr>
        <w:t>Eph</w:t>
      </w:r>
      <w:proofErr w:type="spellEnd"/>
      <w:r w:rsidRPr="00847C50">
        <w:rPr>
          <w:sz w:val="24"/>
          <w:szCs w:val="24"/>
        </w:rPr>
        <w:t xml:space="preserve"> 4,15f. macht deutlich: Weil dieses eine Haupt alle Glieder des Leibes regiere, füge es sie gerade in ihrer Verschiedenheit zusammen. Dieser einheitsstiftenden Bewegung „von oben“ entspricht nach These II die Liebe untereinander und das Wachstum „von unten“. Barth nannte diese Ekklesiologie später „geschwisterliche </w:t>
      </w:r>
      <w:proofErr w:type="spellStart"/>
      <w:r w:rsidRPr="00847C50">
        <w:rPr>
          <w:sz w:val="24"/>
          <w:szCs w:val="24"/>
        </w:rPr>
        <w:t>Christokratie</w:t>
      </w:r>
      <w:proofErr w:type="spellEnd"/>
      <w:r w:rsidRPr="00847C50">
        <w:rPr>
          <w:sz w:val="24"/>
          <w:szCs w:val="24"/>
        </w:rPr>
        <w:t>“.</w:t>
      </w:r>
    </w:p>
    <w:p w:rsidR="00847C50" w:rsidRPr="00847C50" w:rsidRDefault="00847C50" w:rsidP="008D1126">
      <w:pPr>
        <w:shd w:val="clear" w:color="auto" w:fill="F2F2F2" w:themeFill="background1" w:themeFillShade="F2"/>
        <w:rPr>
          <w:sz w:val="24"/>
          <w:szCs w:val="24"/>
        </w:rPr>
      </w:pPr>
      <w:r w:rsidRPr="00847C50">
        <w:rPr>
          <w:sz w:val="24"/>
          <w:szCs w:val="24"/>
        </w:rPr>
        <w:t>These III erinnerte alle an den Machtkämpfen in der DEK Beteiligten: Kirche gehöre allein Jesus Christus. Nur von ihm her sei tragfähige Einigung möglich und zu erhoffen. Die Wendung „mitten in der Welt der Sünde als die Kirche der begnadigten Sünder“ schloss zwei Abwege aus: Die Kirche könne sich aus dieser Welt in einen vermeintlich geschützten sakralen Raum zurückziehen (so die Jungreformatoren) oder müsse ihre Gestalt und Botschaft den Ansprüchen dieser Welt ausliefern und anpassen (so die DC).</w:t>
      </w:r>
    </w:p>
    <w:p w:rsidR="00847C50" w:rsidRPr="00847C50" w:rsidRDefault="00847C50" w:rsidP="008D1126">
      <w:pPr>
        <w:shd w:val="clear" w:color="auto" w:fill="F2F2F2" w:themeFill="background1" w:themeFillShade="F2"/>
        <w:rPr>
          <w:sz w:val="24"/>
          <w:szCs w:val="24"/>
        </w:rPr>
      </w:pPr>
      <w:r w:rsidRPr="00847C50">
        <w:rPr>
          <w:sz w:val="24"/>
          <w:szCs w:val="24"/>
        </w:rPr>
        <w:lastRenderedPageBreak/>
        <w:t xml:space="preserve">Gerade die äußere, rechtliche Kirchengestalt sei nicht beliebig, sondern habe Jesus Christus sichtbar zu entsprechen: Das richtete sich gegen die seit Rudolph </w:t>
      </w:r>
      <w:proofErr w:type="spellStart"/>
      <w:r w:rsidRPr="00847C50">
        <w:rPr>
          <w:sz w:val="24"/>
          <w:szCs w:val="24"/>
        </w:rPr>
        <w:t>Sohm</w:t>
      </w:r>
      <w:proofErr w:type="spellEnd"/>
      <w:r w:rsidRPr="00847C50">
        <w:rPr>
          <w:sz w:val="24"/>
          <w:szCs w:val="24"/>
        </w:rPr>
        <w:t xml:space="preserve"> üblich gewordene Auffassung, die wahre Kirche sei unsichtbar und „frei von jeglichem Recht“. Ihre sichtbare Gestalt sei rein weltlich und berühre ihre unsichtbare Wahrheit nicht. Daraus folgerte der DC-Theologe Emanuel Hirsch 1934: Die DEK müsse „in ihrer Verfassung dem Staat angepasst sein“. Die zentralisierte, von einem staatsloyalen Reichsbischof regierte Reichskirche sei eine „politische Notwendigkeit“. Dagegen stellte These III keine konturenlose formale Demokratie, sondern die Gemeinschaft der begnadigten, zur Nachfolge berufenen Sünder.</w:t>
      </w:r>
    </w:p>
    <w:p w:rsidR="00847C50" w:rsidRPr="00847C50" w:rsidRDefault="00847C50" w:rsidP="008D1126">
      <w:pPr>
        <w:shd w:val="clear" w:color="auto" w:fill="F2F2F2" w:themeFill="background1" w:themeFillShade="F2"/>
        <w:rPr>
          <w:sz w:val="24"/>
          <w:szCs w:val="24"/>
        </w:rPr>
      </w:pPr>
      <w:r w:rsidRPr="00847C50">
        <w:rPr>
          <w:sz w:val="24"/>
          <w:szCs w:val="24"/>
        </w:rPr>
        <w:t>Damit wies sie implizit den Ausschluss bedrohter Judenchristen zurück, den die DC betrieben, aber auch ihren Ausschluss aus kirchlichen Leitungsämtern, den der Leiter des Pfarrernotbunds Martin Niemöller ihnen als „gebotene Zurückhaltung“ nahegelegt hatte.[17] Verworfen wurde etwa die These der sächsischen Volkskirche, die vom NS-Staat rassistisch definierte Volksgemeinschaft sei für die Kirche maßgeblich: „Mitglied der Volkskirche kann … nur sein, wer nach dem Rechte des Staates Volksgenosse ist.“</w:t>
      </w:r>
    </w:p>
    <w:p w:rsidR="00847C50" w:rsidRPr="008D1126" w:rsidRDefault="00847C50" w:rsidP="00847C50">
      <w:pPr>
        <w:rPr>
          <w:sz w:val="28"/>
          <w:szCs w:val="28"/>
        </w:rPr>
      </w:pPr>
      <w:r w:rsidRPr="008D1126">
        <w:rPr>
          <w:sz w:val="28"/>
          <w:szCs w:val="28"/>
        </w:rPr>
        <w:t>IV</w:t>
      </w:r>
    </w:p>
    <w:p w:rsidR="00847C50" w:rsidRPr="008D1126" w:rsidRDefault="00847C50" w:rsidP="00847C50">
      <w:pPr>
        <w:rPr>
          <w:sz w:val="28"/>
          <w:szCs w:val="28"/>
        </w:rPr>
      </w:pPr>
      <w:r w:rsidRPr="008D1126">
        <w:rPr>
          <w:sz w:val="28"/>
          <w:szCs w:val="28"/>
        </w:rPr>
        <w:t>Jesus Christus spricht: Ihr wisst, dass die Herrscher ihre Völker niederhalten und die Mächtigen ihnen Gewalt antun. So soll es nicht sein unter euch; sondern wer unter euch groß sein will, der sei euer Diener. (Mt 20,25.26</w:t>
      </w:r>
      <w:r w:rsidR="008D1126">
        <w:rPr>
          <w:sz w:val="28"/>
          <w:szCs w:val="28"/>
        </w:rPr>
        <w:t>)</w:t>
      </w:r>
    </w:p>
    <w:p w:rsidR="00847C50" w:rsidRPr="008D1126" w:rsidRDefault="00847C50" w:rsidP="00847C50">
      <w:pPr>
        <w:rPr>
          <w:sz w:val="28"/>
          <w:szCs w:val="28"/>
        </w:rPr>
      </w:pPr>
      <w:r w:rsidRPr="008D1126">
        <w:rPr>
          <w:sz w:val="28"/>
          <w:szCs w:val="28"/>
        </w:rPr>
        <w:t>„Die verschiedenen Ämter in der Kirche begründen keine Herrschaft der einen über die anderen, sondern die Ausübung des der ganzen Gemeinde anvertrauten und befohlenen Dienstes.</w:t>
      </w:r>
    </w:p>
    <w:p w:rsidR="00847C50" w:rsidRPr="008D1126" w:rsidRDefault="00847C50" w:rsidP="00847C50">
      <w:pPr>
        <w:rPr>
          <w:sz w:val="28"/>
          <w:szCs w:val="28"/>
        </w:rPr>
      </w:pPr>
      <w:r w:rsidRPr="008D1126">
        <w:rPr>
          <w:sz w:val="28"/>
          <w:szCs w:val="28"/>
        </w:rPr>
        <w:t>Wir verwerfen die falsche Lehre, als könne und dürfe sich die Kirche abseits von diesem Dienst besondere, mit Herrschaftsbefugnissen ausgestattete Führer geben und geben lassen.“</w:t>
      </w:r>
    </w:p>
    <w:p w:rsidR="00847C50" w:rsidRPr="00847C50" w:rsidRDefault="00847C50" w:rsidP="008D1126">
      <w:pPr>
        <w:shd w:val="clear" w:color="auto" w:fill="F2F2F2" w:themeFill="background1" w:themeFillShade="F2"/>
        <w:rPr>
          <w:sz w:val="24"/>
          <w:szCs w:val="24"/>
        </w:rPr>
      </w:pPr>
      <w:r w:rsidRPr="00847C50">
        <w:rPr>
          <w:sz w:val="24"/>
          <w:szCs w:val="24"/>
        </w:rPr>
        <w:t>Das Jesuswort führte den Hörern unmittelbar ihre Realität vor Augen: Herrschen bedeute Gewalt ausüben, den Völkern Gewalt anzutun. Herrschen, das sich als Dienst am Volk ausgebe, sei Lüge. Diese (im damaligen NS-Staat besonders brutale und totale) Realität zu leugnen sei sinnlos. Gerade deshalb könne und dürfe sie die geschwisterliche Nachfolgegemeinschaft nicht bestimmen. Dabei spricht Jesus den Wunsch seiner Nachfolger an, so „gewaltig“ zu sein wie die Gewaltherrscher, und verweist sie auf ihre wahre Macht: die Fähigkeit, den anderen zu dienen, sich ihrer Not hinzugeben. Eben das können die Herrscher nicht, die Macht als unbegrenzte Handlungsfreiheit verstehen. So deckt Jesu Wort auch ihre Versklavung auf. Sein eigenes Beispiel, die Selbsthingabe des Menschensohns an den Sklavendienst, will zu einem herrschaftsfreien Miteinander befreien, das die kommende Befreiung von der allgemeinen Sklaverei schrankenloser Gewaltausübung anbahnt.</w:t>
      </w:r>
    </w:p>
    <w:p w:rsidR="00847C50" w:rsidRPr="00847C50" w:rsidRDefault="00847C50" w:rsidP="008D1126">
      <w:pPr>
        <w:shd w:val="clear" w:color="auto" w:fill="F2F2F2" w:themeFill="background1" w:themeFillShade="F2"/>
        <w:rPr>
          <w:sz w:val="24"/>
          <w:szCs w:val="24"/>
        </w:rPr>
      </w:pPr>
      <w:r w:rsidRPr="00847C50">
        <w:rPr>
          <w:sz w:val="24"/>
          <w:szCs w:val="24"/>
        </w:rPr>
        <w:t>Um der Synode die Annahme der BTE zu erleichtern, betonte Asmussen im Begleitreferat: Jesus wende sich nicht gegen das Recht der Fürsten, zu herrschen, Gewalt zu besitzen und auszuüben. Damit rechtfertigte er die vom NS-Regime betriebene Beseitigung des Rechtsstaats und schloss aus, dass die innerkirchliche Herrschaftsfreiheit Vorbild für den Staat sein könne. So deckte das Bekenntnis auf, das die Bekenner selbst nicht auf Jesus Christus hörten.</w:t>
      </w:r>
    </w:p>
    <w:p w:rsidR="00847C50" w:rsidRPr="00847C50" w:rsidRDefault="00847C50" w:rsidP="008D1126">
      <w:pPr>
        <w:shd w:val="clear" w:color="auto" w:fill="F2F2F2" w:themeFill="background1" w:themeFillShade="F2"/>
        <w:rPr>
          <w:sz w:val="24"/>
          <w:szCs w:val="24"/>
        </w:rPr>
      </w:pPr>
      <w:r w:rsidRPr="00847C50">
        <w:rPr>
          <w:sz w:val="24"/>
          <w:szCs w:val="24"/>
        </w:rPr>
        <w:lastRenderedPageBreak/>
        <w:t>Der Hinweis auf „verschiedene Ämter“ ließ mehrere Formen der Kirchenleitung zu, aber kein zentrales Reichsbischofsamt. Mit Herrschaftsbefugnissen ausgestattete Führer seien nicht nur unzweckmäßig, sondern ein verwerflicher Widerspruch zum biblischen Zeugnis. Damit lehnt die These indirekt auch das Führerprinzip an sich ab, das den Geführten jede Verantwortung für das Handeln ihres Führers nahm („Führer befiehl, wir folgen!“). Weil Jesus Christus in der Kirche allein herrsche, sei jedes Kirchenmitglied gleichermaßen für die ganze Gemeinschaft verantwortlich. Nur solche Leitungsämter seien ihm gemäß, die anderen die „Ausübung des der ganzen Gemeinde anvertrauten und befohlenen Dienstes“ gewähren. Diese Gleichberechtigung von „Laien“ und „Klerus“ für die Diakonie der Kirche, ihre praktische Nächstenliebe, wurde im NS-Staat überlebenswichtig.</w:t>
      </w:r>
    </w:p>
    <w:p w:rsidR="00847C50" w:rsidRPr="008D1126" w:rsidRDefault="00847C50" w:rsidP="00847C50">
      <w:pPr>
        <w:rPr>
          <w:sz w:val="28"/>
          <w:szCs w:val="28"/>
        </w:rPr>
      </w:pPr>
      <w:r w:rsidRPr="008D1126">
        <w:rPr>
          <w:sz w:val="28"/>
          <w:szCs w:val="28"/>
        </w:rPr>
        <w:t>V</w:t>
      </w:r>
    </w:p>
    <w:p w:rsidR="008D1126" w:rsidRDefault="00847C50" w:rsidP="00847C50">
      <w:pPr>
        <w:rPr>
          <w:sz w:val="28"/>
          <w:szCs w:val="28"/>
        </w:rPr>
      </w:pPr>
      <w:r w:rsidRPr="008D1126">
        <w:rPr>
          <w:sz w:val="28"/>
          <w:szCs w:val="28"/>
        </w:rPr>
        <w:t>Fürchtet Gott, ehrt den König. (1 Petr 2,17</w:t>
      </w:r>
      <w:r w:rsidR="008D1126">
        <w:rPr>
          <w:sz w:val="28"/>
          <w:szCs w:val="28"/>
        </w:rPr>
        <w:t>)</w:t>
      </w:r>
      <w:r w:rsidRPr="008D1126">
        <w:rPr>
          <w:sz w:val="28"/>
          <w:szCs w:val="28"/>
        </w:rPr>
        <w:t xml:space="preserve"> </w:t>
      </w:r>
    </w:p>
    <w:p w:rsidR="00847C50" w:rsidRPr="008D1126" w:rsidRDefault="00847C50" w:rsidP="00847C50">
      <w:pPr>
        <w:rPr>
          <w:sz w:val="28"/>
          <w:szCs w:val="28"/>
        </w:rPr>
      </w:pPr>
      <w:r w:rsidRPr="008D1126">
        <w:rPr>
          <w:sz w:val="28"/>
          <w:szCs w:val="28"/>
        </w:rPr>
        <w:t>„Die Schrift sagt uns, dass der Staat nach göttlicher Anordnung die Aufgabe hat, in der noch nicht erlösten Welt, in der auch die Kirche steht, nach dem Maß menschlicher Einsicht und menschlichen Vermögens unter Androhung und Ausübung von Gewalt für Recht und Frieden zu sorgen. Die Kirche erkennt in Dank und Ehrfurcht gegen Gott die Wohltat dieser seiner Anordnung an. Sie erinnert an Gottes Reich, an Gottes Gebot und Gerechtigkeit und damit an die Verantwortung der Regierenden und Regierten. Sie vertraut und gehorcht der Kraft des Wortes, durch das Gott alle Dinge trägt.</w:t>
      </w:r>
    </w:p>
    <w:p w:rsidR="00847C50" w:rsidRPr="008D1126" w:rsidRDefault="00847C50" w:rsidP="00847C50">
      <w:pPr>
        <w:rPr>
          <w:sz w:val="28"/>
          <w:szCs w:val="28"/>
        </w:rPr>
      </w:pPr>
      <w:r w:rsidRPr="008D1126">
        <w:rPr>
          <w:sz w:val="28"/>
          <w:szCs w:val="28"/>
        </w:rPr>
        <w:t>Wir verwerfen die falsche Lehre, als solle und könne der Staat über seinen besonderen Auftrag hinaus die einzige und totale Ordnung menschlichen Lebens werden und also auch die Bestimmung der Kirche erfüllen. Wir verwerfen die falsche Lehre, als solle und könne sich die Kirche über ihren besonderen Auftrag hinaus staatliche Art, staatliche Aufgaben und staatliche Würde aneignen und damit selbst zu einem Organ des Staates werden.“</w:t>
      </w:r>
    </w:p>
    <w:p w:rsidR="00847C50" w:rsidRPr="00847C50" w:rsidRDefault="00847C50" w:rsidP="008D1126">
      <w:pPr>
        <w:shd w:val="clear" w:color="auto" w:fill="F2F2F2" w:themeFill="background1" w:themeFillShade="F2"/>
        <w:rPr>
          <w:sz w:val="24"/>
          <w:szCs w:val="24"/>
        </w:rPr>
      </w:pPr>
      <w:r w:rsidRPr="00847C50">
        <w:rPr>
          <w:sz w:val="24"/>
          <w:szCs w:val="24"/>
        </w:rPr>
        <w:t>Mit dem Einsatz „Die Schrift sagt uns…“ beansprucht These V, die folgende Definition der Staatsaufgabe gesamtbiblisch und somit bleibend verbindlich zu begründen. Das Zitat aus 1 Petr 2,11–17</w:t>
      </w:r>
      <w:r w:rsidR="008D1126">
        <w:rPr>
          <w:sz w:val="24"/>
          <w:szCs w:val="24"/>
        </w:rPr>
        <w:t>,</w:t>
      </w:r>
      <w:r w:rsidRPr="00847C50">
        <w:rPr>
          <w:sz w:val="24"/>
          <w:szCs w:val="24"/>
        </w:rPr>
        <w:t xml:space="preserve"> </w:t>
      </w:r>
      <w:r w:rsidR="008D1126">
        <w:rPr>
          <w:sz w:val="24"/>
          <w:szCs w:val="24"/>
        </w:rPr>
        <w:t>welches</w:t>
      </w:r>
      <w:r w:rsidRPr="00847C50">
        <w:rPr>
          <w:sz w:val="24"/>
          <w:szCs w:val="24"/>
        </w:rPr>
        <w:t xml:space="preserve"> hier dem traditionellen Bezug auf Röm 13,1ff. vorgezogen wird, fasst diese Begründung </w:t>
      </w:r>
      <w:r w:rsidR="008D1126">
        <w:rPr>
          <w:sz w:val="24"/>
          <w:szCs w:val="24"/>
        </w:rPr>
        <w:t xml:space="preserve">unbedingt und </w:t>
      </w:r>
      <w:r w:rsidRPr="00847C50">
        <w:rPr>
          <w:sz w:val="24"/>
          <w:szCs w:val="24"/>
        </w:rPr>
        <w:t xml:space="preserve">knapp zusammen. Der Text appelliert an eine verfolgte Gemeinde, die Verfolger durch ein rechtschaffenes Leben und gute Taten zum Schweigen zu bringen, um die jeweiligen Staatsvertreter an ihre Aufgabe zu erinnern, Böses zu bestrafen und Gutes auszuzeichnen. Die Christen </w:t>
      </w:r>
      <w:proofErr w:type="gramStart"/>
      <w:r w:rsidRPr="00847C50">
        <w:rPr>
          <w:sz w:val="24"/>
          <w:szCs w:val="24"/>
        </w:rPr>
        <w:t>sollen</w:t>
      </w:r>
      <w:proofErr w:type="gramEnd"/>
      <w:r w:rsidRPr="00847C50">
        <w:rPr>
          <w:sz w:val="24"/>
          <w:szCs w:val="24"/>
        </w:rPr>
        <w:t xml:space="preserve"> ihnen gegenüber als freie „Knechte Gottes“ handeln: „Erweist allen Menschen Ehre, liebt die Brüder und Schwestern, fürchtet Gott und ehrt den Kaiser!“ Weil Gott allein zu fürchten sei, sei der Kaiser nicht anders als alle Menschen zu ehren. Die Gottesfurcht (das erste Gebot) verbiete, den Kaiser über andere Menschen zu stellen. So lehnten die Urchristen den Kaiserkult ab: Man müsse Gott mehr gehorchen als den Menschen (Apg 5,29</w:t>
      </w:r>
      <w:r w:rsidR="008D1126">
        <w:rPr>
          <w:sz w:val="24"/>
          <w:szCs w:val="24"/>
        </w:rPr>
        <w:t xml:space="preserve">). </w:t>
      </w:r>
      <w:r w:rsidRPr="00847C50">
        <w:rPr>
          <w:sz w:val="24"/>
          <w:szCs w:val="24"/>
        </w:rPr>
        <w:t xml:space="preserve">Darum spricht These V von der „göttlichen Anordnung“ und „Aufgabe“ des Staates, an der er bleibend zu messen sei. Sie unterstellt ihn Jesu Christi umfassender Herrschaft, von der er abhänge, der er zu dienen habe, an der er zu prüfen sei. Die Wendung „in der noch nicht erlösten Welt“ begrenzt den Staat als </w:t>
      </w:r>
      <w:r w:rsidRPr="00847C50">
        <w:rPr>
          <w:sz w:val="24"/>
          <w:szCs w:val="24"/>
        </w:rPr>
        <w:lastRenderedPageBreak/>
        <w:t>vorläufig, erlösungsbedürftig, also nicht erlösungsfähig, sondern durch das kommende Reich Gottes befristet und überholt. Das verwirft jede metaphysische Staatstheorie, die das bloße Dasein von „Obrigkeit“ mit Gottes Ordnung gleichsetzt, Staatsgesetze als Gottes Gebot ausgibt und sogar den totalen, entgrenzten, jeder demokratischen Kontrolle entzogenen Staat als göttliches Gesetz legitimiert. Dagegen macht These V klar: Nur der Rechtsstaat entspreche der biblischen Staatsaufgabe, der totale Staat sei von vornherein Unrecht.</w:t>
      </w:r>
    </w:p>
    <w:p w:rsidR="00847C50" w:rsidRPr="00847C50" w:rsidRDefault="00847C50" w:rsidP="008D1126">
      <w:pPr>
        <w:shd w:val="clear" w:color="auto" w:fill="F2F2F2" w:themeFill="background1" w:themeFillShade="F2"/>
        <w:rPr>
          <w:sz w:val="24"/>
          <w:szCs w:val="24"/>
        </w:rPr>
      </w:pPr>
      <w:r w:rsidRPr="00847C50">
        <w:rPr>
          <w:sz w:val="24"/>
          <w:szCs w:val="24"/>
        </w:rPr>
        <w:t>Die Wendung „nach dem Maß menschlicher Einsicht und menschlichen Vermögens“ bekräftigt, dass jede noch so gute Regierung immer nur menschlich, vorläufig, fehlbar sei und darum korrigierbar sein müsse. Das Gewaltmonopol des Staates wird anerkannt, aber die Ausübung von Staatsgewalt wird als Ausnahme, nicht Regel gekennzeichnet. Sie habe dem Zweck des Staates zu dienen, nämlich „Recht und Frieden“. Diese Formel hatten schon die Reformatoren für die Staatsaufgabe geprägt. Dabei hatte Huldrych Zwingli „Recht“ daran gemessen, ob die Gesetze „dem Bedrängten Rechtsschutz gewähren, auch wenn er keine Stimme hat“. Dieses biblisch verankerte Schutzrecht der Bedrohten war hier gemeint. Auch „Frieden“ meinte hier mehr als bloß Nichtkrieg, nämlich einen gerechten Frieden, der Kriegsursachen beseitigt. Eben dazu und nur dazu soll der Staat die nötigen Machtmittel besitzen. Damit stellte These V nur die elementaren Grundanforderungen an jeden Staat heraus. Weil der NS-Staat Recht und Frieden nicht nur brach, sondern sie dauerhaft zu zerstören trachtete, stellte die These indirekt schon die Frage, wie eine rechtlose, entrechtende Staatsmacht zu begrenzen, Recht und Frieden wiederherzustellen sei, und was die Kirche dazu beitragen könne.</w:t>
      </w:r>
    </w:p>
    <w:p w:rsidR="00847C50" w:rsidRPr="008D1126" w:rsidRDefault="00847C50" w:rsidP="00847C50">
      <w:pPr>
        <w:rPr>
          <w:sz w:val="28"/>
          <w:szCs w:val="28"/>
        </w:rPr>
      </w:pPr>
      <w:r w:rsidRPr="008D1126">
        <w:rPr>
          <w:sz w:val="28"/>
          <w:szCs w:val="28"/>
        </w:rPr>
        <w:t>VI</w:t>
      </w:r>
    </w:p>
    <w:p w:rsidR="00847C50" w:rsidRPr="008D1126" w:rsidRDefault="00847C50" w:rsidP="00847C50">
      <w:pPr>
        <w:rPr>
          <w:sz w:val="28"/>
          <w:szCs w:val="28"/>
        </w:rPr>
      </w:pPr>
      <w:r w:rsidRPr="008D1126">
        <w:rPr>
          <w:sz w:val="28"/>
          <w:szCs w:val="28"/>
        </w:rPr>
        <w:t>Jesus Christus spricht: Siehe, ich bin bei euch alle Tage bis an der Welt Ende. (Mt 28,20)</w:t>
      </w:r>
    </w:p>
    <w:p w:rsidR="00847C50" w:rsidRPr="008D1126" w:rsidRDefault="00847C50" w:rsidP="00847C50">
      <w:pPr>
        <w:rPr>
          <w:sz w:val="28"/>
          <w:szCs w:val="28"/>
        </w:rPr>
      </w:pPr>
      <w:r w:rsidRPr="008D1126">
        <w:rPr>
          <w:sz w:val="28"/>
          <w:szCs w:val="28"/>
        </w:rPr>
        <w:t>Gottes Wort ist nicht gebunden. (2 Tim 2,9)</w:t>
      </w:r>
    </w:p>
    <w:p w:rsidR="00847C50" w:rsidRPr="008D1126" w:rsidRDefault="00847C50" w:rsidP="00847C50">
      <w:pPr>
        <w:rPr>
          <w:sz w:val="28"/>
          <w:szCs w:val="28"/>
        </w:rPr>
      </w:pPr>
      <w:r w:rsidRPr="008D1126">
        <w:rPr>
          <w:sz w:val="28"/>
          <w:szCs w:val="28"/>
        </w:rPr>
        <w:t>„Der Auftrag der Kirche, in welchem ihre Freiheit gründet, besteht darin, an Christi Statt und also im Dienst seines eigenen Wortes und Werkes durch Predigt und Sakrament die Botschaft von der freien Gnade Gottes auszurichten an alles Volk.</w:t>
      </w:r>
    </w:p>
    <w:p w:rsidR="00276C98" w:rsidRPr="008D1126" w:rsidRDefault="00847C50" w:rsidP="00847C50">
      <w:pPr>
        <w:rPr>
          <w:sz w:val="28"/>
          <w:szCs w:val="28"/>
        </w:rPr>
      </w:pPr>
      <w:r w:rsidRPr="008D1126">
        <w:rPr>
          <w:sz w:val="28"/>
          <w:szCs w:val="28"/>
        </w:rPr>
        <w:t>Wir verwerfen die falsche Lehre, als könne die Kirche in menschlicher Selbstherrlichkeit das Wort und Werk des Herrn in den Dienst irgendwelcher eigenmächtig gewählter Wünsche, Zwecke und Pläne stellen.“</w:t>
      </w:r>
    </w:p>
    <w:p w:rsidR="008D1126" w:rsidRDefault="008D1126">
      <w:pPr>
        <w:rPr>
          <w:sz w:val="24"/>
          <w:szCs w:val="24"/>
        </w:rPr>
      </w:pPr>
    </w:p>
    <w:p w:rsidR="008D1126" w:rsidRDefault="008D1126">
      <w:pPr>
        <w:rPr>
          <w:sz w:val="24"/>
          <w:szCs w:val="24"/>
        </w:rPr>
      </w:pPr>
    </w:p>
    <w:p w:rsidR="008D1126" w:rsidRDefault="008D1126">
      <w:pPr>
        <w:rPr>
          <w:sz w:val="24"/>
          <w:szCs w:val="24"/>
        </w:rPr>
      </w:pPr>
    </w:p>
    <w:p w:rsidR="008D1126" w:rsidRDefault="008D1126">
      <w:pPr>
        <w:rPr>
          <w:sz w:val="24"/>
          <w:szCs w:val="24"/>
        </w:rPr>
      </w:pPr>
    </w:p>
    <w:p w:rsidR="008D1126" w:rsidRDefault="008D1126">
      <w:pPr>
        <w:rPr>
          <w:sz w:val="24"/>
          <w:szCs w:val="24"/>
        </w:rPr>
      </w:pPr>
    </w:p>
    <w:p w:rsidR="008D1126" w:rsidRDefault="008D1126">
      <w:pPr>
        <w:rPr>
          <w:sz w:val="24"/>
          <w:szCs w:val="24"/>
        </w:rPr>
      </w:pPr>
    </w:p>
    <w:p w:rsidR="008D1126" w:rsidRDefault="008D1126">
      <w:pPr>
        <w:rPr>
          <w:sz w:val="24"/>
          <w:szCs w:val="24"/>
        </w:rPr>
      </w:pPr>
    </w:p>
    <w:p w:rsidR="0043534D" w:rsidRPr="008D1126" w:rsidRDefault="0043534D">
      <w:pPr>
        <w:rPr>
          <w:sz w:val="28"/>
          <w:szCs w:val="28"/>
        </w:rPr>
      </w:pPr>
      <w:r w:rsidRPr="008D1126">
        <w:rPr>
          <w:sz w:val="28"/>
          <w:szCs w:val="28"/>
        </w:rPr>
        <w:lastRenderedPageBreak/>
        <w:t>Die Autoren der Barmer theologischen Erklärung:</w:t>
      </w:r>
      <w:bookmarkStart w:id="0" w:name="_GoBack"/>
      <w:bookmarkEnd w:id="0"/>
    </w:p>
    <w:p w:rsidR="0043534D" w:rsidRPr="00847C50" w:rsidRDefault="0043534D" w:rsidP="0043534D">
      <w:pPr>
        <w:spacing w:before="100" w:beforeAutospacing="1" w:after="100" w:afterAutospacing="1" w:line="240" w:lineRule="auto"/>
        <w:rPr>
          <w:rFonts w:eastAsia="Times New Roman" w:cstheme="minorHAnsi"/>
          <w:sz w:val="20"/>
          <w:szCs w:val="20"/>
          <w:lang w:eastAsia="de-DE"/>
        </w:rPr>
      </w:pPr>
      <w:r w:rsidRPr="00847C50">
        <w:rPr>
          <w:rFonts w:cstheme="minorHAnsi"/>
          <w:noProof/>
          <w:sz w:val="18"/>
          <w:szCs w:val="18"/>
        </w:rPr>
        <w:drawing>
          <wp:anchor distT="0" distB="0" distL="114300" distR="114300" simplePos="0" relativeHeight="251659264" behindDoc="0" locked="0" layoutInCell="1" allowOverlap="1">
            <wp:simplePos x="0" y="0"/>
            <wp:positionH relativeFrom="margin">
              <wp:align>left</wp:align>
            </wp:positionH>
            <wp:positionV relativeFrom="paragraph">
              <wp:posOffset>115570</wp:posOffset>
            </wp:positionV>
            <wp:extent cx="1498600" cy="2038350"/>
            <wp:effectExtent l="0" t="0" r="6350" b="0"/>
            <wp:wrapSquare wrapText="bothSides"/>
            <wp:docPr id="2" name="Grafik 2" descr="Karl Barth (1886-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l Barth (1886-19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210" cy="20604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7C50">
        <w:rPr>
          <w:rFonts w:eastAsia="Times New Roman" w:cstheme="minorHAnsi"/>
          <w:b/>
          <w:bCs/>
          <w:sz w:val="20"/>
          <w:szCs w:val="20"/>
          <w:lang w:eastAsia="de-DE"/>
        </w:rPr>
        <w:t>KARL BARTH</w:t>
      </w:r>
      <w:r w:rsidRPr="00847C50">
        <w:rPr>
          <w:rFonts w:eastAsia="Times New Roman" w:cstheme="minorHAnsi"/>
          <w:sz w:val="20"/>
          <w:szCs w:val="20"/>
          <w:lang w:eastAsia="de-DE"/>
        </w:rPr>
        <w:t xml:space="preserve"> (1886-1968) prägte mit seiner Theologie die Barmer Theologische Erklärung maßgeblich. Als 1933 die Nationalsozialisten die Macht übernahmen, ist der gebürtige Schweizer Theologieprofessor in Bonn. Seit der Katastrophe des Ersten Weltkrieges prangert er die Verbürgerlichung des Evangeliums an, er predigt gegen die Identifizierung von christlicher Offenbarung und europäischer Kulturgeschichte. Barth wendet sich gegen den Individualismus, gegen die Verinnerlichung des Christentums und ganz im Sinne Luthers gegen die „natürliche Theologie“, wonach der Mensch irgendetwas zur Offenbarung oder zu seiner Erlösung beitragen könne.</w:t>
      </w:r>
      <w:r w:rsidR="008D1126">
        <w:rPr>
          <w:rFonts w:eastAsia="Times New Roman" w:cstheme="minorHAnsi"/>
          <w:sz w:val="20"/>
          <w:szCs w:val="20"/>
          <w:lang w:eastAsia="de-DE"/>
        </w:rPr>
        <w:t xml:space="preserve"> </w:t>
      </w:r>
      <w:proofErr w:type="gramStart"/>
      <w:r w:rsidRPr="00847C50">
        <w:rPr>
          <w:rFonts w:eastAsia="Times New Roman" w:cstheme="minorHAnsi"/>
          <w:sz w:val="20"/>
          <w:szCs w:val="20"/>
          <w:lang w:eastAsia="de-DE"/>
        </w:rPr>
        <w:t>Im</w:t>
      </w:r>
      <w:proofErr w:type="gramEnd"/>
      <w:r w:rsidRPr="00847C50">
        <w:rPr>
          <w:rFonts w:eastAsia="Times New Roman" w:cstheme="minorHAnsi"/>
          <w:sz w:val="20"/>
          <w:szCs w:val="20"/>
          <w:lang w:eastAsia="de-DE"/>
        </w:rPr>
        <w:t xml:space="preserve"> Juni 1933 greift Barth öffentlich in die Auseinandersetzungen des deutschen Kirchenkampfes ein. Seine Schrift »Theologische Existenz heute!« wird 37 000 Mal verbreitet, bevor sie im Juli 1934 beschlagnahmt wird. Der Text der Barmer Erklärung stammt zum großen Teil aus seiner Feder. Mit der Verweigerung des Amtseids auf Hitler im Jahr 1934 wird Barth für den NS-Staat zum erklärten Gegner, deshalb 1935 in den Ruhestand versetzt.</w:t>
      </w:r>
      <w:r w:rsidR="00847C50">
        <w:rPr>
          <w:rFonts w:eastAsia="Times New Roman" w:cstheme="minorHAnsi"/>
          <w:sz w:val="20"/>
          <w:szCs w:val="20"/>
          <w:lang w:eastAsia="de-DE"/>
        </w:rPr>
        <w:t xml:space="preserve"> Barth kehrt nach </w:t>
      </w:r>
      <w:r w:rsidRPr="00847C50">
        <w:rPr>
          <w:rFonts w:eastAsia="Times New Roman" w:cstheme="minorHAnsi"/>
          <w:sz w:val="20"/>
          <w:szCs w:val="20"/>
          <w:lang w:eastAsia="de-DE"/>
        </w:rPr>
        <w:t xml:space="preserve">Basel </w:t>
      </w:r>
      <w:r w:rsidR="00847C50">
        <w:rPr>
          <w:rFonts w:eastAsia="Times New Roman" w:cstheme="minorHAnsi"/>
          <w:sz w:val="20"/>
          <w:szCs w:val="20"/>
          <w:lang w:eastAsia="de-DE"/>
        </w:rPr>
        <w:t xml:space="preserve">zurück und </w:t>
      </w:r>
      <w:r w:rsidRPr="00847C50">
        <w:rPr>
          <w:rFonts w:eastAsia="Times New Roman" w:cstheme="minorHAnsi"/>
          <w:sz w:val="20"/>
          <w:szCs w:val="20"/>
          <w:lang w:eastAsia="de-DE"/>
        </w:rPr>
        <w:t>greift immer wieder in die Kirchenpolitik ein und spart auch nicht mit Kritik an der Bekennenden Kirche. Er beklagt das mangelnde Engagement gegen die Judenverfolgungen und die Konzentrationslager. »Die Bekennende Kirche hat sich bis jetzt im Ganzen in der Tat mit dem Kampf um ihre eigene Reinheit und Freiheit begnügt. Das ist ihre Schranke und ihre Schwäche.« Schon 1945 setzt er sich für die Versöhnung mit den Deutschen ein und geht 1946 und 1947 als Gastprofessor nach Bonn, um mitzutun, wenn Theologie und Kirche »vom Nullpunkt« anzufangen hatten. Auch im »kalten« Krieg bleibt er ein unbequemer Mahner gegen Wiederaufrüstung und Militarismus.</w:t>
      </w:r>
    </w:p>
    <w:p w:rsidR="0043534D" w:rsidRPr="00847C50" w:rsidRDefault="0043534D" w:rsidP="0043534D">
      <w:pPr>
        <w:spacing w:before="100" w:beforeAutospacing="1" w:after="100" w:afterAutospacing="1" w:line="240" w:lineRule="auto"/>
        <w:rPr>
          <w:rFonts w:eastAsia="Times New Roman" w:cstheme="minorHAnsi"/>
          <w:sz w:val="20"/>
          <w:szCs w:val="20"/>
          <w:lang w:eastAsia="de-DE"/>
        </w:rPr>
      </w:pPr>
      <w:r w:rsidRPr="00847C50">
        <w:rPr>
          <w:rFonts w:cstheme="minorHAnsi"/>
          <w:noProof/>
          <w:sz w:val="18"/>
          <w:szCs w:val="18"/>
        </w:rPr>
        <w:drawing>
          <wp:anchor distT="0" distB="0" distL="114300" distR="114300" simplePos="0" relativeHeight="251660288" behindDoc="0" locked="0" layoutInCell="1" allowOverlap="1">
            <wp:simplePos x="0" y="0"/>
            <wp:positionH relativeFrom="margin">
              <wp:align>left</wp:align>
            </wp:positionH>
            <wp:positionV relativeFrom="paragraph">
              <wp:posOffset>7620</wp:posOffset>
            </wp:positionV>
            <wp:extent cx="1537970" cy="1866900"/>
            <wp:effectExtent l="0" t="0" r="5080" b="0"/>
            <wp:wrapSquare wrapText="bothSides"/>
            <wp:docPr id="6" name="Grafik 6" descr="Thomas Breit (1880-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omas Breit (1880-1966)."/>
                    <pic:cNvPicPr>
                      <a:picLocks noChangeAspect="1" noChangeArrowheads="1"/>
                    </pic:cNvPicPr>
                  </pic:nvPicPr>
                  <pic:blipFill rotWithShape="1">
                    <a:blip r:embed="rId10">
                      <a:extLst>
                        <a:ext uri="{28A0092B-C50C-407E-A947-70E740481C1C}">
                          <a14:useLocalDpi xmlns:a14="http://schemas.microsoft.com/office/drawing/2010/main" val="0"/>
                        </a:ext>
                      </a:extLst>
                    </a:blip>
                    <a:srcRect l="13182" t="8615" r="12273" b="30154"/>
                    <a:stretch/>
                  </pic:blipFill>
                  <pic:spPr bwMode="auto">
                    <a:xfrm>
                      <a:off x="0" y="0"/>
                      <a:ext cx="1548722" cy="18792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7C50">
        <w:rPr>
          <w:rFonts w:eastAsia="Times New Roman" w:cstheme="minorHAnsi"/>
          <w:b/>
          <w:bCs/>
          <w:sz w:val="20"/>
          <w:szCs w:val="20"/>
          <w:lang w:eastAsia="de-DE"/>
        </w:rPr>
        <w:t>THOMAS BREIT</w:t>
      </w:r>
      <w:r w:rsidRPr="00847C50">
        <w:rPr>
          <w:rFonts w:eastAsia="Times New Roman" w:cstheme="minorHAnsi"/>
          <w:sz w:val="20"/>
          <w:szCs w:val="20"/>
          <w:lang w:eastAsia="de-DE"/>
        </w:rPr>
        <w:t xml:space="preserve"> (1880-1966) ist </w:t>
      </w:r>
      <w:proofErr w:type="spellStart"/>
      <w:r w:rsidRPr="00847C50">
        <w:rPr>
          <w:rFonts w:eastAsia="Times New Roman" w:cstheme="minorHAnsi"/>
          <w:sz w:val="20"/>
          <w:szCs w:val="20"/>
          <w:lang w:eastAsia="de-DE"/>
        </w:rPr>
        <w:t>ls</w:t>
      </w:r>
      <w:proofErr w:type="spellEnd"/>
      <w:r w:rsidRPr="00847C50">
        <w:rPr>
          <w:rFonts w:eastAsia="Times New Roman" w:cstheme="minorHAnsi"/>
          <w:sz w:val="20"/>
          <w:szCs w:val="20"/>
          <w:lang w:eastAsia="de-DE"/>
        </w:rPr>
        <w:t xml:space="preserve"> lutherischer Theologe aus Bayern an der Ausarbeitung der Barmer Theologischen Erklärung beteiligt. Als Ältester hat er den Vorsitz des Dreierausschusses mit Karl Barth und Hans Asmussen inne, der die Barmer Synode </w:t>
      </w:r>
      <w:proofErr w:type="spellStart"/>
      <w:proofErr w:type="gramStart"/>
      <w:r w:rsidRPr="00847C50">
        <w:rPr>
          <w:rFonts w:eastAsia="Times New Roman" w:cstheme="minorHAnsi"/>
          <w:sz w:val="20"/>
          <w:szCs w:val="20"/>
          <w:lang w:eastAsia="de-DE"/>
        </w:rPr>
        <w:t>vorbereitet.Bereits</w:t>
      </w:r>
      <w:proofErr w:type="spellEnd"/>
      <w:proofErr w:type="gramEnd"/>
      <w:r w:rsidRPr="00847C50">
        <w:rPr>
          <w:rFonts w:eastAsia="Times New Roman" w:cstheme="minorHAnsi"/>
          <w:sz w:val="20"/>
          <w:szCs w:val="20"/>
          <w:lang w:eastAsia="de-DE"/>
        </w:rPr>
        <w:t xml:space="preserve"> 1931 hatte Breit öffentlich die Unvereinbarkeit von Christentum und Nationalsozialismus betont. Seine Ernennung zum Oberkirchenrat wurde deshalb im April 1933 vom Reichsführer der Nationalsozialistischen Evangelischen Pfarrerschaft als »untragbar« kritisiert. Doch genau diese Haltung qualifiziert ihn für eine prägende Rolle bei der Barmer Synode. Am 15. und 16. Mai, zwei Wochen vor der Synode, trifft sich Breit mit Barth und Asmussen in Frankfurt. Dabei entstand die Vorlage für die Barmer Erklärung. Nach seiner Beurlaubung für andere Aufgaben im Oktober 1934 war </w:t>
      </w:r>
      <w:proofErr w:type="gramStart"/>
      <w:r w:rsidRPr="00847C50">
        <w:rPr>
          <w:rFonts w:eastAsia="Times New Roman" w:cstheme="minorHAnsi"/>
          <w:sz w:val="20"/>
          <w:szCs w:val="20"/>
          <w:lang w:eastAsia="de-DE"/>
        </w:rPr>
        <w:t>Breit</w:t>
      </w:r>
      <w:proofErr w:type="gramEnd"/>
      <w:r w:rsidRPr="00847C50">
        <w:rPr>
          <w:rFonts w:eastAsia="Times New Roman" w:cstheme="minorHAnsi"/>
          <w:sz w:val="20"/>
          <w:szCs w:val="20"/>
          <w:lang w:eastAsia="de-DE"/>
        </w:rPr>
        <w:t xml:space="preserve"> zunächst Mitglied des Reichsbruderrats und der vorläufigen Leitung der Bekennenden Kirche. Von 1936 bis 1938 war er Vorsitzender des Rates der Evangelisch-Lutherischen Kirche Deutschlands (»Lutherrat«) und gehörte als Vertreter der lutherischen Landeskirchen der Bekennenden Kirche dem Reichsbruderrat </w:t>
      </w:r>
      <w:proofErr w:type="spellStart"/>
      <w:r w:rsidRPr="00847C50">
        <w:rPr>
          <w:rFonts w:eastAsia="Times New Roman" w:cstheme="minorHAnsi"/>
          <w:sz w:val="20"/>
          <w:szCs w:val="20"/>
          <w:lang w:eastAsia="de-DE"/>
        </w:rPr>
        <w:t>an.Während</w:t>
      </w:r>
      <w:proofErr w:type="spellEnd"/>
      <w:r w:rsidRPr="00847C50">
        <w:rPr>
          <w:rFonts w:eastAsia="Times New Roman" w:cstheme="minorHAnsi"/>
          <w:sz w:val="20"/>
          <w:szCs w:val="20"/>
          <w:lang w:eastAsia="de-DE"/>
        </w:rPr>
        <w:t xml:space="preserve"> des Ersten Weltkriegs wirkte er als Feldseelsorger. 1947 übernahm Breit die Leitung des Martin-Luther-Bundes. </w:t>
      </w:r>
    </w:p>
    <w:p w:rsidR="00847C50" w:rsidRDefault="0043534D" w:rsidP="0043534D">
      <w:pPr>
        <w:pStyle w:val="StandardWeb"/>
        <w:rPr>
          <w:rFonts w:asciiTheme="minorHAnsi" w:hAnsiTheme="minorHAnsi" w:cstheme="minorHAnsi"/>
          <w:sz w:val="20"/>
          <w:szCs w:val="20"/>
        </w:rPr>
      </w:pPr>
      <w:r w:rsidRPr="00847C50">
        <w:rPr>
          <w:rFonts w:asciiTheme="minorHAnsi" w:hAnsiTheme="minorHAnsi" w:cstheme="minorHAnsi"/>
          <w:noProof/>
          <w:sz w:val="20"/>
          <w:szCs w:val="20"/>
        </w:rPr>
        <w:drawing>
          <wp:anchor distT="0" distB="0" distL="114300" distR="114300" simplePos="0" relativeHeight="251661312" behindDoc="0" locked="0" layoutInCell="1" allowOverlap="1">
            <wp:simplePos x="0" y="0"/>
            <wp:positionH relativeFrom="margin">
              <wp:align>left</wp:align>
            </wp:positionH>
            <wp:positionV relativeFrom="paragraph">
              <wp:posOffset>3175</wp:posOffset>
            </wp:positionV>
            <wp:extent cx="1365885" cy="1990725"/>
            <wp:effectExtent l="0" t="0" r="5715" b="9525"/>
            <wp:wrapSquare wrapText="bothSides"/>
            <wp:docPr id="5" name="Grafik 5" descr="Hans Asmussen (1898-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s Asmussen (1898-19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7C50">
        <w:rPr>
          <w:rStyle w:val="Fett"/>
          <w:rFonts w:asciiTheme="minorHAnsi" w:hAnsiTheme="minorHAnsi" w:cstheme="minorHAnsi"/>
          <w:sz w:val="20"/>
          <w:szCs w:val="20"/>
        </w:rPr>
        <w:t xml:space="preserve">HANS ASMUSSEN </w:t>
      </w:r>
      <w:r w:rsidRPr="00847C50">
        <w:rPr>
          <w:rFonts w:asciiTheme="minorHAnsi" w:hAnsiTheme="minorHAnsi" w:cstheme="minorHAnsi"/>
          <w:sz w:val="20"/>
          <w:szCs w:val="20"/>
        </w:rPr>
        <w:t xml:space="preserve">(1898-1968) </w:t>
      </w:r>
      <w:r w:rsidR="00847C50">
        <w:rPr>
          <w:rFonts w:asciiTheme="minorHAnsi" w:hAnsiTheme="minorHAnsi" w:cstheme="minorHAnsi"/>
          <w:sz w:val="20"/>
          <w:szCs w:val="20"/>
        </w:rPr>
        <w:t>ist</w:t>
      </w:r>
      <w:r w:rsidRPr="00847C50">
        <w:rPr>
          <w:rFonts w:asciiTheme="minorHAnsi" w:hAnsiTheme="minorHAnsi" w:cstheme="minorHAnsi"/>
          <w:sz w:val="20"/>
          <w:szCs w:val="20"/>
        </w:rPr>
        <w:t xml:space="preserve"> </w:t>
      </w:r>
      <w:r w:rsidR="00847C50">
        <w:rPr>
          <w:rFonts w:asciiTheme="minorHAnsi" w:hAnsiTheme="minorHAnsi" w:cstheme="minorHAnsi"/>
          <w:sz w:val="20"/>
          <w:szCs w:val="20"/>
        </w:rPr>
        <w:t xml:space="preserve">seit </w:t>
      </w:r>
      <w:r w:rsidRPr="00847C50">
        <w:rPr>
          <w:rFonts w:asciiTheme="minorHAnsi" w:hAnsiTheme="minorHAnsi" w:cstheme="minorHAnsi"/>
          <w:sz w:val="20"/>
          <w:szCs w:val="20"/>
        </w:rPr>
        <w:t xml:space="preserve">Juli 1932 Pfarrer in Altona, als dort beim »Altonaer Blutsonntag« 18 Personen bei Straßenkämpfen zwischen SA, Kommunisten und preußischer Polizei ums Leben kommen. Er </w:t>
      </w:r>
      <w:r w:rsidR="00847C50">
        <w:rPr>
          <w:rFonts w:asciiTheme="minorHAnsi" w:hAnsiTheme="minorHAnsi" w:cstheme="minorHAnsi"/>
          <w:sz w:val="20"/>
          <w:szCs w:val="20"/>
        </w:rPr>
        <w:t xml:space="preserve">ist </w:t>
      </w:r>
      <w:r w:rsidRPr="00847C50">
        <w:rPr>
          <w:rFonts w:asciiTheme="minorHAnsi" w:hAnsiTheme="minorHAnsi" w:cstheme="minorHAnsi"/>
          <w:sz w:val="20"/>
          <w:szCs w:val="20"/>
        </w:rPr>
        <w:t>Mitverfasser des am 11. Januar 1933 veröffentlichten »Altonaer Bekenntnisses« in der Not und Verwirrung des öffentlichen Lebens. Dieses Bekenntnis gilt als ein Vorbote der Barmer Theologischen Erklärung.</w:t>
      </w:r>
    </w:p>
    <w:p w:rsidR="0043534D" w:rsidRPr="00847C50" w:rsidRDefault="0043534D" w:rsidP="008D1126">
      <w:pPr>
        <w:pStyle w:val="StandardWeb"/>
        <w:rPr>
          <w:rFonts w:cstheme="minorHAnsi"/>
          <w:sz w:val="20"/>
          <w:szCs w:val="20"/>
        </w:rPr>
      </w:pPr>
      <w:r w:rsidRPr="00847C50">
        <w:rPr>
          <w:rFonts w:asciiTheme="minorHAnsi" w:hAnsiTheme="minorHAnsi" w:cstheme="minorHAnsi"/>
          <w:sz w:val="20"/>
          <w:szCs w:val="20"/>
        </w:rPr>
        <w:t>Nach dem Sieg der Deutschen Christen bei den Kirchenwahlen 1933 in der schleswig-holsteinischen Landeskirche w</w:t>
      </w:r>
      <w:r w:rsidR="00847C50">
        <w:rPr>
          <w:rFonts w:asciiTheme="minorHAnsi" w:hAnsiTheme="minorHAnsi" w:cstheme="minorHAnsi"/>
          <w:sz w:val="20"/>
          <w:szCs w:val="20"/>
        </w:rPr>
        <w:t>i</w:t>
      </w:r>
      <w:r w:rsidRPr="00847C50">
        <w:rPr>
          <w:rFonts w:asciiTheme="minorHAnsi" w:hAnsiTheme="minorHAnsi" w:cstheme="minorHAnsi"/>
          <w:sz w:val="20"/>
          <w:szCs w:val="20"/>
        </w:rPr>
        <w:t>rd Asmussen als deren erklärter Gegner suspendiert und 1934 in den vorzeitigen Ruhestand geschickt. Asmussen übern</w:t>
      </w:r>
      <w:r w:rsidR="00847C50">
        <w:rPr>
          <w:rFonts w:asciiTheme="minorHAnsi" w:hAnsiTheme="minorHAnsi" w:cstheme="minorHAnsi"/>
          <w:sz w:val="20"/>
          <w:szCs w:val="20"/>
        </w:rPr>
        <w:t>immt</w:t>
      </w:r>
      <w:r w:rsidRPr="00847C50">
        <w:rPr>
          <w:rFonts w:asciiTheme="minorHAnsi" w:hAnsiTheme="minorHAnsi" w:cstheme="minorHAnsi"/>
          <w:sz w:val="20"/>
          <w:szCs w:val="20"/>
        </w:rPr>
        <w:t xml:space="preserve"> daraufhin führende Aufgaben in der Bekennenden Kirche. Er gehört dem Reichsbruderrat an, konzipiert mit Karl Barth und Thomas Breit die Barmer Theologische Erklärung und h</w:t>
      </w:r>
      <w:r w:rsidR="00847C50">
        <w:rPr>
          <w:rFonts w:asciiTheme="minorHAnsi" w:hAnsiTheme="minorHAnsi" w:cstheme="minorHAnsi"/>
          <w:sz w:val="20"/>
          <w:szCs w:val="20"/>
        </w:rPr>
        <w:t>ä</w:t>
      </w:r>
      <w:r w:rsidRPr="00847C50">
        <w:rPr>
          <w:rFonts w:asciiTheme="minorHAnsi" w:hAnsiTheme="minorHAnsi" w:cstheme="minorHAnsi"/>
          <w:sz w:val="20"/>
          <w:szCs w:val="20"/>
        </w:rPr>
        <w:t>lt bei der ersten Barmer Bekenntnissynode 1934 das Einbringungsreferat.1935 wurde Asmussen Gründer und erster Leiter der am 1. November 1935 eröffneten und am selben Tage verbotenen Kirchlichen Hochschule Berlin-Dahlem. 1939 w</w:t>
      </w:r>
      <w:r w:rsidR="00847C50">
        <w:rPr>
          <w:rFonts w:asciiTheme="minorHAnsi" w:hAnsiTheme="minorHAnsi" w:cstheme="minorHAnsi"/>
          <w:sz w:val="20"/>
          <w:szCs w:val="20"/>
        </w:rPr>
        <w:t>i</w:t>
      </w:r>
      <w:r w:rsidRPr="00847C50">
        <w:rPr>
          <w:rFonts w:asciiTheme="minorHAnsi" w:hAnsiTheme="minorHAnsi" w:cstheme="minorHAnsi"/>
          <w:sz w:val="20"/>
          <w:szCs w:val="20"/>
        </w:rPr>
        <w:t>rd gegen ihn ein reichsweites Rede- und Predigtverbot verhängt, im Mai 1941 w</w:t>
      </w:r>
      <w:r w:rsidR="00847C50">
        <w:rPr>
          <w:rFonts w:asciiTheme="minorHAnsi" w:hAnsiTheme="minorHAnsi" w:cstheme="minorHAnsi"/>
          <w:sz w:val="20"/>
          <w:szCs w:val="20"/>
        </w:rPr>
        <w:t>i</w:t>
      </w:r>
      <w:r w:rsidRPr="00847C50">
        <w:rPr>
          <w:rFonts w:asciiTheme="minorHAnsi" w:hAnsiTheme="minorHAnsi" w:cstheme="minorHAnsi"/>
          <w:sz w:val="20"/>
          <w:szCs w:val="20"/>
        </w:rPr>
        <w:t xml:space="preserve">rd er verhaftet und am 22. Dezember 1941 zu einer Haftstrafe verurteilt. 1943 holt Bischof Theophil Wurm ihn in die württembergische Landeskirche. Nach dem Krieg </w:t>
      </w:r>
      <w:r w:rsidR="00847C50">
        <w:rPr>
          <w:rFonts w:asciiTheme="minorHAnsi" w:hAnsiTheme="minorHAnsi" w:cstheme="minorHAnsi"/>
          <w:sz w:val="20"/>
          <w:szCs w:val="20"/>
        </w:rPr>
        <w:t>ist</w:t>
      </w:r>
      <w:r w:rsidRPr="00847C50">
        <w:rPr>
          <w:rFonts w:asciiTheme="minorHAnsi" w:hAnsiTheme="minorHAnsi" w:cstheme="minorHAnsi"/>
          <w:sz w:val="20"/>
          <w:szCs w:val="20"/>
        </w:rPr>
        <w:t xml:space="preserve"> er maßgeblich beim Aufbau der Evangelischen Kirche in Deutschland (EKD) beteiligt, er wirkt auch am Stuttgarter Schuldbekenntnis mit, worin sich die evangelischen Christen am 19. Oktober 1945 zu ihrer Mitschuld an den Verbrechen in der Zeit des Nationalsozialismus bek</w:t>
      </w:r>
      <w:r w:rsidR="00847C50">
        <w:rPr>
          <w:rFonts w:asciiTheme="minorHAnsi" w:hAnsiTheme="minorHAnsi" w:cstheme="minorHAnsi"/>
          <w:sz w:val="20"/>
          <w:szCs w:val="20"/>
        </w:rPr>
        <w:t>e</w:t>
      </w:r>
      <w:r w:rsidRPr="00847C50">
        <w:rPr>
          <w:rFonts w:asciiTheme="minorHAnsi" w:hAnsiTheme="minorHAnsi" w:cstheme="minorHAnsi"/>
          <w:sz w:val="20"/>
          <w:szCs w:val="20"/>
        </w:rPr>
        <w:t xml:space="preserve">nnen. </w:t>
      </w:r>
    </w:p>
    <w:sectPr w:rsidR="0043534D" w:rsidRPr="00847C50" w:rsidSect="00276C98">
      <w:footerReference w:type="default" r:id="rId12"/>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F0F" w:rsidRDefault="004B6F0F" w:rsidP="00FD5B04">
      <w:pPr>
        <w:spacing w:after="0" w:line="240" w:lineRule="auto"/>
      </w:pPr>
      <w:r>
        <w:separator/>
      </w:r>
    </w:p>
  </w:endnote>
  <w:endnote w:type="continuationSeparator" w:id="0">
    <w:p w:rsidR="004B6F0F" w:rsidRDefault="004B6F0F" w:rsidP="00FD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12"/>
      <w:gridCol w:w="1928"/>
    </w:tblGrid>
    <w:sdt>
      <w:sdtPr>
        <w:rPr>
          <w:rFonts w:asciiTheme="majorHAnsi" w:eastAsiaTheme="majorEastAsia" w:hAnsiTheme="majorHAnsi" w:cstheme="majorBidi"/>
          <w:sz w:val="20"/>
          <w:szCs w:val="20"/>
        </w:rPr>
        <w:id w:val="-870220118"/>
        <w:docPartObj>
          <w:docPartGallery w:val="Page Numbers (Bottom of Page)"/>
          <w:docPartUnique/>
        </w:docPartObj>
      </w:sdtPr>
      <w:sdtEndPr>
        <w:rPr>
          <w:rFonts w:asciiTheme="minorHAnsi" w:eastAsiaTheme="minorHAnsi" w:hAnsiTheme="minorHAnsi" w:cstheme="minorBidi"/>
          <w:sz w:val="22"/>
          <w:szCs w:val="22"/>
        </w:rPr>
      </w:sdtEndPr>
      <w:sdtContent>
        <w:tr w:rsidR="00FD5B04">
          <w:trPr>
            <w:trHeight w:val="727"/>
          </w:trPr>
          <w:tc>
            <w:tcPr>
              <w:tcW w:w="4000" w:type="pct"/>
              <w:tcBorders>
                <w:right w:val="triple" w:sz="4" w:space="0" w:color="4472C4" w:themeColor="accent1"/>
              </w:tcBorders>
            </w:tcPr>
            <w:p w:rsidR="00FD5B04" w:rsidRDefault="00FD5B04">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rsidR="00FD5B04" w:rsidRDefault="00FD5B0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rsidR="00FD5B04" w:rsidRDefault="00FD5B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F0F" w:rsidRDefault="004B6F0F" w:rsidP="00FD5B04">
      <w:pPr>
        <w:spacing w:after="0" w:line="240" w:lineRule="auto"/>
      </w:pPr>
      <w:r>
        <w:separator/>
      </w:r>
    </w:p>
  </w:footnote>
  <w:footnote w:type="continuationSeparator" w:id="0">
    <w:p w:rsidR="004B6F0F" w:rsidRDefault="004B6F0F" w:rsidP="00FD5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98"/>
    <w:rsid w:val="00276C98"/>
    <w:rsid w:val="002D4783"/>
    <w:rsid w:val="0040703B"/>
    <w:rsid w:val="0043534D"/>
    <w:rsid w:val="0048350E"/>
    <w:rsid w:val="004B6F0F"/>
    <w:rsid w:val="004C3569"/>
    <w:rsid w:val="006C72AA"/>
    <w:rsid w:val="0071280A"/>
    <w:rsid w:val="00847C50"/>
    <w:rsid w:val="008D1126"/>
    <w:rsid w:val="00A44360"/>
    <w:rsid w:val="00B40A49"/>
    <w:rsid w:val="00FD5B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6440"/>
  <w15:chartTrackingRefBased/>
  <w15:docId w15:val="{B7587A28-A0FD-4339-9C81-078B6614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11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3534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3534D"/>
    <w:rPr>
      <w:b/>
      <w:bCs/>
    </w:rPr>
  </w:style>
  <w:style w:type="character" w:customStyle="1" w:styleId="adbox-type">
    <w:name w:val="adbox-type"/>
    <w:basedOn w:val="Absatz-Standardschriftart"/>
    <w:rsid w:val="0043534D"/>
  </w:style>
  <w:style w:type="paragraph" w:styleId="Kopfzeile">
    <w:name w:val="header"/>
    <w:basedOn w:val="Standard"/>
    <w:link w:val="KopfzeileZchn"/>
    <w:uiPriority w:val="99"/>
    <w:unhideWhenUsed/>
    <w:rsid w:val="00FD5B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5B04"/>
  </w:style>
  <w:style w:type="paragraph" w:styleId="Fuzeile">
    <w:name w:val="footer"/>
    <w:basedOn w:val="Standard"/>
    <w:link w:val="FuzeileZchn"/>
    <w:uiPriority w:val="99"/>
    <w:unhideWhenUsed/>
    <w:rsid w:val="00FD5B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5B04"/>
  </w:style>
  <w:style w:type="character" w:customStyle="1" w:styleId="berschrift1Zchn">
    <w:name w:val="Überschrift 1 Zchn"/>
    <w:basedOn w:val="Absatz-Standardschriftart"/>
    <w:link w:val="berschrift1"/>
    <w:uiPriority w:val="9"/>
    <w:rsid w:val="008D11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71">
      <w:bodyDiv w:val="1"/>
      <w:marLeft w:val="0"/>
      <w:marRight w:val="0"/>
      <w:marTop w:val="0"/>
      <w:marBottom w:val="0"/>
      <w:divBdr>
        <w:top w:val="none" w:sz="0" w:space="0" w:color="auto"/>
        <w:left w:val="none" w:sz="0" w:space="0" w:color="auto"/>
        <w:bottom w:val="none" w:sz="0" w:space="0" w:color="auto"/>
        <w:right w:val="none" w:sz="0" w:space="0" w:color="auto"/>
      </w:divBdr>
      <w:divsChild>
        <w:div w:id="1013456831">
          <w:marLeft w:val="0"/>
          <w:marRight w:val="0"/>
          <w:marTop w:val="0"/>
          <w:marBottom w:val="0"/>
          <w:divBdr>
            <w:top w:val="none" w:sz="0" w:space="0" w:color="auto"/>
            <w:left w:val="none" w:sz="0" w:space="0" w:color="auto"/>
            <w:bottom w:val="none" w:sz="0" w:space="0" w:color="auto"/>
            <w:right w:val="none" w:sz="0" w:space="0" w:color="auto"/>
          </w:divBdr>
          <w:divsChild>
            <w:div w:id="13055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4976">
      <w:bodyDiv w:val="1"/>
      <w:marLeft w:val="0"/>
      <w:marRight w:val="0"/>
      <w:marTop w:val="0"/>
      <w:marBottom w:val="0"/>
      <w:divBdr>
        <w:top w:val="none" w:sz="0" w:space="0" w:color="auto"/>
        <w:left w:val="none" w:sz="0" w:space="0" w:color="auto"/>
        <w:bottom w:val="none" w:sz="0" w:space="0" w:color="auto"/>
        <w:right w:val="none" w:sz="0" w:space="0" w:color="auto"/>
      </w:divBdr>
      <w:divsChild>
        <w:div w:id="473792221">
          <w:marLeft w:val="0"/>
          <w:marRight w:val="0"/>
          <w:marTop w:val="0"/>
          <w:marBottom w:val="0"/>
          <w:divBdr>
            <w:top w:val="none" w:sz="0" w:space="0" w:color="auto"/>
            <w:left w:val="none" w:sz="0" w:space="0" w:color="auto"/>
            <w:bottom w:val="none" w:sz="0" w:space="0" w:color="auto"/>
            <w:right w:val="none" w:sz="0" w:space="0" w:color="auto"/>
          </w:divBdr>
          <w:divsChild>
            <w:div w:id="1775785527">
              <w:marLeft w:val="0"/>
              <w:marRight w:val="0"/>
              <w:marTop w:val="0"/>
              <w:marBottom w:val="0"/>
              <w:divBdr>
                <w:top w:val="none" w:sz="0" w:space="0" w:color="auto"/>
                <w:left w:val="none" w:sz="0" w:space="0" w:color="auto"/>
                <w:bottom w:val="none" w:sz="0" w:space="0" w:color="auto"/>
                <w:right w:val="none" w:sz="0" w:space="0" w:color="auto"/>
              </w:divBdr>
              <w:divsChild>
                <w:div w:id="1964382149">
                  <w:marLeft w:val="0"/>
                  <w:marRight w:val="0"/>
                  <w:marTop w:val="0"/>
                  <w:marBottom w:val="0"/>
                  <w:divBdr>
                    <w:top w:val="none" w:sz="0" w:space="0" w:color="auto"/>
                    <w:left w:val="none" w:sz="0" w:space="0" w:color="auto"/>
                    <w:bottom w:val="none" w:sz="0" w:space="0" w:color="auto"/>
                    <w:right w:val="none" w:sz="0" w:space="0" w:color="auto"/>
                  </w:divBdr>
                  <w:divsChild>
                    <w:div w:id="918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905232">
      <w:bodyDiv w:val="1"/>
      <w:marLeft w:val="0"/>
      <w:marRight w:val="0"/>
      <w:marTop w:val="0"/>
      <w:marBottom w:val="0"/>
      <w:divBdr>
        <w:top w:val="none" w:sz="0" w:space="0" w:color="auto"/>
        <w:left w:val="none" w:sz="0" w:space="0" w:color="auto"/>
        <w:bottom w:val="none" w:sz="0" w:space="0" w:color="auto"/>
        <w:right w:val="none" w:sz="0" w:space="0" w:color="auto"/>
      </w:divBdr>
      <w:divsChild>
        <w:div w:id="806894809">
          <w:marLeft w:val="0"/>
          <w:marRight w:val="0"/>
          <w:marTop w:val="0"/>
          <w:marBottom w:val="0"/>
          <w:divBdr>
            <w:top w:val="none" w:sz="0" w:space="0" w:color="auto"/>
            <w:left w:val="none" w:sz="0" w:space="0" w:color="auto"/>
            <w:bottom w:val="none" w:sz="0" w:space="0" w:color="auto"/>
            <w:right w:val="none" w:sz="0" w:space="0" w:color="auto"/>
          </w:divBdr>
        </w:div>
        <w:div w:id="2099326347">
          <w:marLeft w:val="0"/>
          <w:marRight w:val="0"/>
          <w:marTop w:val="0"/>
          <w:marBottom w:val="0"/>
          <w:divBdr>
            <w:top w:val="none" w:sz="0" w:space="0" w:color="auto"/>
            <w:left w:val="none" w:sz="0" w:space="0" w:color="auto"/>
            <w:bottom w:val="none" w:sz="0" w:space="0" w:color="auto"/>
            <w:right w:val="none" w:sz="0" w:space="0" w:color="auto"/>
          </w:divBdr>
        </w:div>
        <w:div w:id="1198664507">
          <w:marLeft w:val="0"/>
          <w:marRight w:val="0"/>
          <w:marTop w:val="0"/>
          <w:marBottom w:val="0"/>
          <w:divBdr>
            <w:top w:val="none" w:sz="0" w:space="0" w:color="auto"/>
            <w:left w:val="none" w:sz="0" w:space="0" w:color="auto"/>
            <w:bottom w:val="none" w:sz="0" w:space="0" w:color="auto"/>
            <w:right w:val="none" w:sz="0" w:space="0" w:color="auto"/>
          </w:divBdr>
        </w:div>
        <w:div w:id="257640607">
          <w:marLeft w:val="0"/>
          <w:marRight w:val="0"/>
          <w:marTop w:val="0"/>
          <w:marBottom w:val="0"/>
          <w:divBdr>
            <w:top w:val="none" w:sz="0" w:space="0" w:color="auto"/>
            <w:left w:val="none" w:sz="0" w:space="0" w:color="auto"/>
            <w:bottom w:val="none" w:sz="0" w:space="0" w:color="auto"/>
            <w:right w:val="none" w:sz="0" w:space="0" w:color="auto"/>
          </w:divBdr>
        </w:div>
        <w:div w:id="1246958997">
          <w:marLeft w:val="0"/>
          <w:marRight w:val="0"/>
          <w:marTop w:val="0"/>
          <w:marBottom w:val="0"/>
          <w:divBdr>
            <w:top w:val="none" w:sz="0" w:space="0" w:color="auto"/>
            <w:left w:val="none" w:sz="0" w:space="0" w:color="auto"/>
            <w:bottom w:val="none" w:sz="0" w:space="0" w:color="auto"/>
            <w:right w:val="none" w:sz="0" w:space="0" w:color="auto"/>
          </w:divBdr>
          <w:divsChild>
            <w:div w:id="204175864">
              <w:marLeft w:val="0"/>
              <w:marRight w:val="0"/>
              <w:marTop w:val="0"/>
              <w:marBottom w:val="0"/>
              <w:divBdr>
                <w:top w:val="none" w:sz="0" w:space="0" w:color="auto"/>
                <w:left w:val="none" w:sz="0" w:space="0" w:color="auto"/>
                <w:bottom w:val="none" w:sz="0" w:space="0" w:color="auto"/>
                <w:right w:val="none" w:sz="0" w:space="0" w:color="auto"/>
              </w:divBdr>
            </w:div>
          </w:divsChild>
        </w:div>
        <w:div w:id="1540121676">
          <w:marLeft w:val="0"/>
          <w:marRight w:val="0"/>
          <w:marTop w:val="0"/>
          <w:marBottom w:val="0"/>
          <w:divBdr>
            <w:top w:val="none" w:sz="0" w:space="0" w:color="auto"/>
            <w:left w:val="none" w:sz="0" w:space="0" w:color="auto"/>
            <w:bottom w:val="none" w:sz="0" w:space="0" w:color="auto"/>
            <w:right w:val="none" w:sz="0" w:space="0" w:color="auto"/>
          </w:divBdr>
          <w:divsChild>
            <w:div w:id="252786244">
              <w:marLeft w:val="0"/>
              <w:marRight w:val="0"/>
              <w:marTop w:val="0"/>
              <w:marBottom w:val="0"/>
              <w:divBdr>
                <w:top w:val="none" w:sz="0" w:space="0" w:color="auto"/>
                <w:left w:val="none" w:sz="0" w:space="0" w:color="auto"/>
                <w:bottom w:val="none" w:sz="0" w:space="0" w:color="auto"/>
                <w:right w:val="none" w:sz="0" w:space="0" w:color="auto"/>
              </w:divBdr>
              <w:divsChild>
                <w:div w:id="937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4853">
          <w:marLeft w:val="0"/>
          <w:marRight w:val="0"/>
          <w:marTop w:val="0"/>
          <w:marBottom w:val="0"/>
          <w:divBdr>
            <w:top w:val="none" w:sz="0" w:space="0" w:color="auto"/>
            <w:left w:val="none" w:sz="0" w:space="0" w:color="auto"/>
            <w:bottom w:val="none" w:sz="0" w:space="0" w:color="auto"/>
            <w:right w:val="none" w:sz="0" w:space="0" w:color="auto"/>
          </w:divBdr>
        </w:div>
        <w:div w:id="1340545446">
          <w:marLeft w:val="0"/>
          <w:marRight w:val="0"/>
          <w:marTop w:val="0"/>
          <w:marBottom w:val="0"/>
          <w:divBdr>
            <w:top w:val="none" w:sz="0" w:space="0" w:color="auto"/>
            <w:left w:val="none" w:sz="0" w:space="0" w:color="auto"/>
            <w:bottom w:val="none" w:sz="0" w:space="0" w:color="auto"/>
            <w:right w:val="none" w:sz="0" w:space="0" w:color="auto"/>
          </w:divBdr>
        </w:div>
        <w:div w:id="1954315630">
          <w:marLeft w:val="0"/>
          <w:marRight w:val="0"/>
          <w:marTop w:val="0"/>
          <w:marBottom w:val="0"/>
          <w:divBdr>
            <w:top w:val="none" w:sz="0" w:space="0" w:color="auto"/>
            <w:left w:val="none" w:sz="0" w:space="0" w:color="auto"/>
            <w:bottom w:val="none" w:sz="0" w:space="0" w:color="auto"/>
            <w:right w:val="none" w:sz="0" w:space="0" w:color="auto"/>
          </w:divBdr>
        </w:div>
        <w:div w:id="228543989">
          <w:marLeft w:val="0"/>
          <w:marRight w:val="0"/>
          <w:marTop w:val="0"/>
          <w:marBottom w:val="0"/>
          <w:divBdr>
            <w:top w:val="none" w:sz="0" w:space="0" w:color="auto"/>
            <w:left w:val="none" w:sz="0" w:space="0" w:color="auto"/>
            <w:bottom w:val="none" w:sz="0" w:space="0" w:color="auto"/>
            <w:right w:val="none" w:sz="0" w:space="0" w:color="auto"/>
          </w:divBdr>
        </w:div>
        <w:div w:id="1117144378">
          <w:marLeft w:val="0"/>
          <w:marRight w:val="0"/>
          <w:marTop w:val="0"/>
          <w:marBottom w:val="0"/>
          <w:divBdr>
            <w:top w:val="none" w:sz="0" w:space="0" w:color="auto"/>
            <w:left w:val="none" w:sz="0" w:space="0" w:color="auto"/>
            <w:bottom w:val="none" w:sz="0" w:space="0" w:color="auto"/>
            <w:right w:val="none" w:sz="0" w:space="0" w:color="auto"/>
          </w:divBdr>
        </w:div>
        <w:div w:id="1903566248">
          <w:marLeft w:val="0"/>
          <w:marRight w:val="0"/>
          <w:marTop w:val="0"/>
          <w:marBottom w:val="0"/>
          <w:divBdr>
            <w:top w:val="none" w:sz="0" w:space="0" w:color="auto"/>
            <w:left w:val="none" w:sz="0" w:space="0" w:color="auto"/>
            <w:bottom w:val="none" w:sz="0" w:space="0" w:color="auto"/>
            <w:right w:val="none" w:sz="0" w:space="0" w:color="auto"/>
          </w:divBdr>
        </w:div>
        <w:div w:id="908346749">
          <w:marLeft w:val="0"/>
          <w:marRight w:val="0"/>
          <w:marTop w:val="0"/>
          <w:marBottom w:val="0"/>
          <w:divBdr>
            <w:top w:val="none" w:sz="0" w:space="0" w:color="auto"/>
            <w:left w:val="none" w:sz="0" w:space="0" w:color="auto"/>
            <w:bottom w:val="none" w:sz="0" w:space="0" w:color="auto"/>
            <w:right w:val="none" w:sz="0" w:space="0" w:color="auto"/>
          </w:divBdr>
        </w:div>
        <w:div w:id="1595283827">
          <w:marLeft w:val="0"/>
          <w:marRight w:val="0"/>
          <w:marTop w:val="0"/>
          <w:marBottom w:val="0"/>
          <w:divBdr>
            <w:top w:val="none" w:sz="0" w:space="0" w:color="auto"/>
            <w:left w:val="none" w:sz="0" w:space="0" w:color="auto"/>
            <w:bottom w:val="none" w:sz="0" w:space="0" w:color="auto"/>
            <w:right w:val="none" w:sz="0" w:space="0" w:color="auto"/>
          </w:divBdr>
        </w:div>
        <w:div w:id="1496259982">
          <w:marLeft w:val="0"/>
          <w:marRight w:val="0"/>
          <w:marTop w:val="0"/>
          <w:marBottom w:val="0"/>
          <w:divBdr>
            <w:top w:val="none" w:sz="0" w:space="0" w:color="auto"/>
            <w:left w:val="none" w:sz="0" w:space="0" w:color="auto"/>
            <w:bottom w:val="none" w:sz="0" w:space="0" w:color="auto"/>
            <w:right w:val="none" w:sz="0" w:space="0" w:color="auto"/>
          </w:divBdr>
        </w:div>
        <w:div w:id="1477262656">
          <w:marLeft w:val="0"/>
          <w:marRight w:val="0"/>
          <w:marTop w:val="0"/>
          <w:marBottom w:val="0"/>
          <w:divBdr>
            <w:top w:val="none" w:sz="0" w:space="0" w:color="auto"/>
            <w:left w:val="none" w:sz="0" w:space="0" w:color="auto"/>
            <w:bottom w:val="none" w:sz="0" w:space="0" w:color="auto"/>
            <w:right w:val="none" w:sz="0" w:space="0" w:color="auto"/>
          </w:divBdr>
        </w:div>
        <w:div w:id="1697387106">
          <w:marLeft w:val="0"/>
          <w:marRight w:val="0"/>
          <w:marTop w:val="0"/>
          <w:marBottom w:val="0"/>
          <w:divBdr>
            <w:top w:val="none" w:sz="0" w:space="0" w:color="auto"/>
            <w:left w:val="none" w:sz="0" w:space="0" w:color="auto"/>
            <w:bottom w:val="none" w:sz="0" w:space="0" w:color="auto"/>
            <w:right w:val="none" w:sz="0" w:space="0" w:color="auto"/>
          </w:divBdr>
        </w:div>
        <w:div w:id="1219122060">
          <w:marLeft w:val="0"/>
          <w:marRight w:val="0"/>
          <w:marTop w:val="0"/>
          <w:marBottom w:val="0"/>
          <w:divBdr>
            <w:top w:val="none" w:sz="0" w:space="0" w:color="auto"/>
            <w:left w:val="none" w:sz="0" w:space="0" w:color="auto"/>
            <w:bottom w:val="none" w:sz="0" w:space="0" w:color="auto"/>
            <w:right w:val="none" w:sz="0" w:space="0" w:color="auto"/>
          </w:divBdr>
        </w:div>
      </w:divsChild>
    </w:div>
    <w:div w:id="1999070947">
      <w:bodyDiv w:val="1"/>
      <w:marLeft w:val="0"/>
      <w:marRight w:val="0"/>
      <w:marTop w:val="0"/>
      <w:marBottom w:val="0"/>
      <w:divBdr>
        <w:top w:val="none" w:sz="0" w:space="0" w:color="auto"/>
        <w:left w:val="none" w:sz="0" w:space="0" w:color="auto"/>
        <w:bottom w:val="none" w:sz="0" w:space="0" w:color="auto"/>
        <w:right w:val="none" w:sz="0" w:space="0" w:color="auto"/>
      </w:divBdr>
      <w:divsChild>
        <w:div w:id="1510171925">
          <w:marLeft w:val="0"/>
          <w:marRight w:val="0"/>
          <w:marTop w:val="0"/>
          <w:marBottom w:val="0"/>
          <w:divBdr>
            <w:top w:val="none" w:sz="0" w:space="0" w:color="auto"/>
            <w:left w:val="none" w:sz="0" w:space="0" w:color="auto"/>
            <w:bottom w:val="none" w:sz="0" w:space="0" w:color="auto"/>
            <w:right w:val="none" w:sz="0" w:space="0" w:color="auto"/>
          </w:divBdr>
          <w:divsChild>
            <w:div w:id="925186271">
              <w:marLeft w:val="0"/>
              <w:marRight w:val="0"/>
              <w:marTop w:val="0"/>
              <w:marBottom w:val="0"/>
              <w:divBdr>
                <w:top w:val="none" w:sz="0" w:space="0" w:color="auto"/>
                <w:left w:val="none" w:sz="0" w:space="0" w:color="auto"/>
                <w:bottom w:val="none" w:sz="0" w:space="0" w:color="auto"/>
                <w:right w:val="none" w:sz="0" w:space="0" w:color="auto"/>
              </w:divBdr>
              <w:divsChild>
                <w:div w:id="1279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0837">
          <w:marLeft w:val="0"/>
          <w:marRight w:val="0"/>
          <w:marTop w:val="0"/>
          <w:marBottom w:val="0"/>
          <w:divBdr>
            <w:top w:val="none" w:sz="0" w:space="0" w:color="auto"/>
            <w:left w:val="none" w:sz="0" w:space="0" w:color="auto"/>
            <w:bottom w:val="none" w:sz="0" w:space="0" w:color="auto"/>
            <w:right w:val="none" w:sz="0" w:space="0" w:color="auto"/>
          </w:divBdr>
          <w:divsChild>
            <w:div w:id="672758769">
              <w:marLeft w:val="0"/>
              <w:marRight w:val="0"/>
              <w:marTop w:val="0"/>
              <w:marBottom w:val="0"/>
              <w:divBdr>
                <w:top w:val="none" w:sz="0" w:space="0" w:color="auto"/>
                <w:left w:val="none" w:sz="0" w:space="0" w:color="auto"/>
                <w:bottom w:val="none" w:sz="0" w:space="0" w:color="auto"/>
                <w:right w:val="none" w:sz="0" w:space="0" w:color="auto"/>
              </w:divBdr>
              <w:divsChild>
                <w:div w:id="1992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57B2-400D-4AAB-B6F5-61EC1D8B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3897</Words>
  <Characters>24557</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5</cp:revision>
  <dcterms:created xsi:type="dcterms:W3CDTF">2020-09-04T14:09:00Z</dcterms:created>
  <dcterms:modified xsi:type="dcterms:W3CDTF">2020-09-10T09:07:00Z</dcterms:modified>
</cp:coreProperties>
</file>