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AE" w:rsidRDefault="00CB50AE">
      <w:pPr>
        <w:pStyle w:val="berschrift4"/>
        <w:rPr>
          <w:bCs w:val="0"/>
          <w:szCs w:val="24"/>
        </w:rPr>
      </w:pPr>
      <w:bookmarkStart w:id="0" w:name="_GoBack"/>
      <w:bookmarkEnd w:id="0"/>
      <w:r>
        <w:rPr>
          <w:bCs w:val="0"/>
          <w:szCs w:val="24"/>
        </w:rPr>
        <w:t>Zweijahresplanung -  Gymnasium für 9/10, Stand: 4.April 07</w:t>
      </w:r>
    </w:p>
    <w:p w:rsidR="00CB50AE" w:rsidRDefault="00CB50A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CB50AE">
        <w:trPr>
          <w:trHeight w:val="238"/>
          <w:jc w:val="center"/>
        </w:trPr>
        <w:tc>
          <w:tcPr>
            <w:tcW w:w="14426" w:type="dxa"/>
            <w:gridSpan w:val="7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spacing w:after="0" w:line="240" w:lineRule="auto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können zentrale ethische Aussagen der Bibel (Dekalog; wichtige Abschnitte der Bergpr</w:t>
            </w:r>
            <w:r>
              <w:rPr>
                <w:rFonts w:cs="Arial"/>
                <w:b/>
                <w:bCs/>
                <w:sz w:val="18"/>
              </w:rPr>
              <w:t>e</w:t>
            </w:r>
            <w:r>
              <w:rPr>
                <w:rFonts w:cs="Arial"/>
                <w:b/>
                <w:bCs/>
                <w:sz w:val="18"/>
              </w:rPr>
              <w:t>digt, z.B. Goldene Regel; Doppelgebot der Liebe) in eine normenkritische Urteilsbildung einbeziehen (2.1)</w:t>
            </w:r>
          </w:p>
          <w:p w:rsidR="00CB50AE" w:rsidRDefault="00CB50AE">
            <w:pPr>
              <w:pStyle w:val="BSAufzhlung1"/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daraus sich ergebende Herausforderungen für die eigene Lebensführung und die Mitgestaltung der Gesellschaft (2.2)</w:t>
            </w:r>
          </w:p>
          <w:p w:rsidR="00CB50AE" w:rsidRDefault="00CB50AE">
            <w:pPr>
              <w:pStyle w:val="BSAufzhlung1"/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unterschiedliche Ansätze oder Methoden der Textauslegung auf biblische Beispi</w:t>
            </w:r>
            <w:r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>le anwenden (3.1)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sz w:val="18"/>
              </w:rPr>
              <w:t>können anhand der Bergpredigt den Vollmachtsanspruch Jesu darstellen (5.2)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 einem Beispiel Aspekte der Wirkungsgeschichte der Bibel darstellen und r</w:t>
            </w:r>
            <w:r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>flektieren (3.3)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i/>
                <w:iCs/>
              </w:rPr>
            </w:pPr>
            <w:r>
              <w:rPr>
                <w:rFonts w:cs="Arial"/>
                <w:sz w:val="18"/>
              </w:rPr>
              <w:t>können am Beispiel der Biographie eines Menschen oder der Geschichte einer Gemei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schaft zeigen, dass der Glaube an Jesus Christus die konkrete Lebensführung im Alltag und in extremen Situationen bestimmen kann (5.1)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anhand einer Weisung der Bergpredigt und des Doppelgebots der Liebe die Rel</w:t>
            </w:r>
            <w:r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>vanz der Botschaft Jesu für heute aufzeigen (5.1)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Jesu Umgang mit der Thora an einem Beispiel erläutern (5.2)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sz w:val="20"/>
              </w:rPr>
            </w:pPr>
            <w:r>
              <w:rPr>
                <w:rFonts w:cs="Arial"/>
                <w:sz w:val="18"/>
              </w:rPr>
              <w:t>verstehen, dass Jesus Gottes Nähe erfahrbar machte, u.a. in seiner Zuwendung zu Sü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dern und Ausgestoßenen und seinem Verzicht auf Gewalt (5.3)</w:t>
            </w:r>
          </w:p>
        </w:tc>
      </w:tr>
      <w:tr w:rsidR="00CB50AE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CB50AE" w:rsidRDefault="00CB50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CB50AE">
        <w:trPr>
          <w:gridAfter w:val="1"/>
          <w:wAfter w:w="57" w:type="dxa"/>
          <w:jc w:val="center"/>
        </w:trPr>
        <w:tc>
          <w:tcPr>
            <w:tcW w:w="3348" w:type="dxa"/>
          </w:tcPr>
          <w:p w:rsidR="00CB50AE" w:rsidRDefault="00CB50AE">
            <w:pPr>
              <w:pStyle w:val="BSberschrift3"/>
              <w:spacing w:after="0"/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Bergpredigt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Aufbau und Inhalt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Der Zusammenhang von Zuspruch und Anspruch: Seligpreisungen, Salz- und Lich</w:t>
            </w:r>
            <w:r>
              <w:rPr>
                <w:rFonts w:cs="Arial"/>
                <w:sz w:val="18"/>
              </w:rPr>
              <w:t>t</w:t>
            </w:r>
            <w:r>
              <w:rPr>
                <w:rFonts w:cs="Arial"/>
                <w:sz w:val="18"/>
              </w:rPr>
              <w:t>wort, Antithesen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Der Zusammenhang von Beten und Handeln: Vaterunser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Zwei Auslegungsmodelle mit ihren Konsequenzen für aktuelle ethische Fragestellu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gen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Herausforderung für die eigene Lebensführung und die Gestaltung der Gesellschaft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</w:pPr>
            <w:r>
              <w:rPr>
                <w:rFonts w:cs="Arial"/>
                <w:sz w:val="18"/>
              </w:rPr>
              <w:t>Menschen, die nach der Bergpredigt leben</w:t>
            </w:r>
          </w:p>
        </w:tc>
        <w:tc>
          <w:tcPr>
            <w:tcW w:w="3060" w:type="dxa"/>
          </w:tcPr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Wichtige Verse der Bergpredigt (auswendig) sprechen, auslegen und in heutige Sprache übertragen.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Gebete formulieren und überprüfen an den Maßstäben der Bergpredigt. 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unterschiedliche Textgattungen angemessen auslegen 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Deutsch:</w:t>
            </w:r>
            <w:r>
              <w:rPr>
                <w:rFonts w:ascii="Arial" w:hAnsi="Arial" w:cs="Arial"/>
                <w:sz w:val="18"/>
              </w:rPr>
              <w:t xml:space="preserve"> Die  Leistung [...] sprachlich-stilistischer Mittel in unterschiedlichen Texten beschreiben und beurteilen. 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Geschichte Kl. 10:</w:t>
            </w:r>
            <w:r>
              <w:rPr>
                <w:rFonts w:ascii="Arial" w:hAnsi="Arial" w:cs="Arial"/>
                <w:sz w:val="18"/>
              </w:rPr>
              <w:t xml:space="preserve">  Einfluss christlicher Kirche und Mönchtum auf die Schaffung gemeinsamer Wertevorstellungen in Europa; Benediktinerregel</w:t>
            </w:r>
          </w:p>
          <w:p w:rsidR="00CB50AE" w:rsidRDefault="00CB50AE">
            <w:pPr>
              <w:pStyle w:val="Funotentext"/>
              <w:rPr>
                <w:rFonts w:cs="Arial"/>
                <w:szCs w:val="24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1" w:type="dxa"/>
          </w:tcPr>
          <w:p w:rsidR="00CB50AE" w:rsidRDefault="00CB50AE">
            <w:pPr>
              <w:pStyle w:val="BSAufzhlung1"/>
              <w:framePr w:hSpace="141" w:wrap="notBeside" w:hAnchor="margin" w:x="-476" w:y="562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Jesu Beispiele eines unerwarteten, kreativen und selbstbewussten Verhaltens als Beitrag zur Ausbildung von StreischlichterInnen </w:t>
            </w:r>
          </w:p>
          <w:p w:rsidR="00CB50AE" w:rsidRDefault="00CB50AE">
            <w:pPr>
              <w:pStyle w:val="BSAufzhlung1"/>
              <w:framePr w:hSpace="141" w:wrap="notBeside" w:hAnchor="margin" w:x="-476" w:y="562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</w:p>
        </w:tc>
      </w:tr>
    </w:tbl>
    <w:p w:rsidR="00CB50AE" w:rsidRDefault="00CB50AE"/>
    <w:p w:rsidR="00CB50AE" w:rsidRDefault="00CB50A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CB50AE">
        <w:trPr>
          <w:trHeight w:val="238"/>
          <w:jc w:val="center"/>
        </w:trPr>
        <w:tc>
          <w:tcPr>
            <w:tcW w:w="14426" w:type="dxa"/>
            <w:gridSpan w:val="7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CB50AE">
        <w:trPr>
          <w:trHeight w:val="1911"/>
          <w:jc w:val="center"/>
        </w:trPr>
        <w:tc>
          <w:tcPr>
            <w:tcW w:w="7128" w:type="dxa"/>
            <w:gridSpan w:val="3"/>
          </w:tcPr>
          <w:p w:rsidR="00CB50AE" w:rsidRDefault="00CB50AE"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können darstellen, dass christliche Hoffnungsbilder angesichts des Todes im Glauben an Gott gründen (4.2)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erläutern, wie die Begrenztheit menschlichen Lebens zur Deutung von Angst, Leid und Tod herausfordert (1.1)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</w:pPr>
            <w:r>
              <w:rPr>
                <w:rFonts w:cs="Arial"/>
                <w:sz w:val="18"/>
              </w:rPr>
              <w:t>kennen christliche Bilder der Hoffnung, insbesondere der Auferstehung, und können sie mit entsprechenden Vorstellungen anderer Religionen vergleichen (1.2)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verstehen, dass menschliches Leben begrenzt ist, z. B. durch Leid, Krankheit und Tod (1.4)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den Grund der christlichen Hoffnung auf Auferweckung darlegen und Wiederg</w:t>
            </w:r>
            <w:r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>burtsvorstellungen von dieser abheben (1.5)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sz w:val="20"/>
              </w:rPr>
            </w:pPr>
            <w:r>
              <w:rPr>
                <w:rFonts w:cs="Arial"/>
                <w:sz w:val="18"/>
              </w:rPr>
              <w:t>können den Zusammenhang zwischen der Auferweckung Jesu und der christlichen Hof</w:t>
            </w:r>
            <w:r>
              <w:rPr>
                <w:rFonts w:cs="Arial"/>
                <w:sz w:val="18"/>
              </w:rPr>
              <w:t>f</w:t>
            </w:r>
            <w:r>
              <w:rPr>
                <w:rFonts w:cs="Arial"/>
                <w:sz w:val="18"/>
              </w:rPr>
              <w:t>nung auf Vollendung darlegen (5.4)</w:t>
            </w:r>
          </w:p>
        </w:tc>
      </w:tr>
      <w:tr w:rsidR="00CB50AE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CB50AE" w:rsidRDefault="00CB50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CB50AE">
        <w:trPr>
          <w:gridAfter w:val="1"/>
          <w:wAfter w:w="57" w:type="dxa"/>
          <w:jc w:val="center"/>
        </w:trPr>
        <w:tc>
          <w:tcPr>
            <w:tcW w:w="3348" w:type="dxa"/>
          </w:tcPr>
          <w:p w:rsidR="00CB50AE" w:rsidRDefault="00CB50AE">
            <w:pPr>
              <w:pStyle w:val="BSberschrift3"/>
              <w:spacing w:after="0"/>
              <w:ind w:left="0"/>
            </w:pPr>
            <w:r>
              <w:rPr>
                <w:rFonts w:cs="Arial"/>
                <w:sz w:val="24"/>
              </w:rPr>
              <w:t>Stärker als der Tod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Erfahrungen mit Sterben und Tod: eigene Ängste, Hoffnungen, Vorstellungen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Biblische Hoffnung angesichts des Todes (z. B. Mk 12,18ff, 1.Kor 15)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Tod und Auferstehung Jesu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Lebensbegleitende Bedeutung christlicher Bestattungsriten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Begleitung Trauernder und Sterbender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</w:pPr>
            <w:r>
              <w:rPr>
                <w:rFonts w:cs="Arial"/>
                <w:sz w:val="18"/>
              </w:rPr>
              <w:t>Vorstellungen anderer Religionen</w:t>
            </w:r>
            <w:r>
              <w:t xml:space="preserve">  </w:t>
            </w:r>
          </w:p>
        </w:tc>
        <w:tc>
          <w:tcPr>
            <w:tcW w:w="3060" w:type="dxa"/>
          </w:tcPr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Über Erfahrungen des Sterbens und Abschiednehmens reden und sich austauschen</w:t>
            </w:r>
          </w:p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Gebete und Meditationen formulieren und vortragen, die Erfahrungen des Sterbens aufgreifen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Sterben und Tod in Musik und Bildender Kunst.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1" w:type="dxa"/>
          </w:tcPr>
          <w:p w:rsidR="00CB50AE" w:rsidRDefault="00CB50AE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Sozialpraktika</w:t>
            </w:r>
          </w:p>
          <w:p w:rsidR="00CB50AE" w:rsidRDefault="00CB50AE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Gestaltung von Passions- und Ostergottesdiensten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</w:tr>
    </w:tbl>
    <w:p w:rsidR="00CB50AE" w:rsidRDefault="00CB50AE"/>
    <w:p w:rsidR="00CB50AE" w:rsidRDefault="00CB50A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CB50AE">
        <w:trPr>
          <w:trHeight w:val="238"/>
          <w:jc w:val="center"/>
        </w:trPr>
        <w:tc>
          <w:tcPr>
            <w:tcW w:w="14426" w:type="dxa"/>
            <w:gridSpan w:val="7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CB50AE">
        <w:trPr>
          <w:trHeight w:val="1911"/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können darlegen, inwiefern „Auschwitz“ den Glauben an Gott in eine Krise geführt hat (4.4)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begründen, dass der Glaube an Gott Freiheit gegenüber totalitären menschlichen Ansprüchen ermöglicht (4.3)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unterschiedliche Haltungen von Christinnen und Christen zum Nationalsozialismus aus deren theologischen Vorstellungen (Antijudaismus, Verständnis der Obrigkeit) herle</w:t>
            </w:r>
            <w:r>
              <w:rPr>
                <w:rFonts w:cs="Arial"/>
                <w:sz w:val="18"/>
              </w:rPr>
              <w:t>i</w:t>
            </w:r>
            <w:r>
              <w:rPr>
                <w:rFonts w:cs="Arial"/>
                <w:sz w:val="18"/>
              </w:rPr>
              <w:t>ten (6.1)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</w:pPr>
            <w:r>
              <w:rPr>
                <w:rFonts w:cs="Arial"/>
                <w:sz w:val="18"/>
              </w:rPr>
              <w:t>können an einem Beispiel erläutern, wie aus christlicher Überzeugung gegen die nationa</w:t>
            </w:r>
            <w:r>
              <w:rPr>
                <w:rFonts w:cs="Arial"/>
                <w:sz w:val="18"/>
              </w:rPr>
              <w:t>l</w:t>
            </w:r>
            <w:r>
              <w:rPr>
                <w:rFonts w:cs="Arial"/>
                <w:sz w:val="18"/>
              </w:rPr>
              <w:t>sozialistische Ideologie und Praxis Widerstand geleistet wurde (6.2)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unterschiedliche Verhaltensweisen von Christen in der Zeit des Dritten Reiches darlegen und bewerten (6.3)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sz w:val="20"/>
              </w:rPr>
            </w:pPr>
            <w:r>
              <w:rPr>
                <w:rFonts w:cs="Arial"/>
                <w:sz w:val="18"/>
              </w:rPr>
              <w:t>kennen Beispiele für christlichen Antijudaismus und können sich kritisch damit auseina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dersetzen (7.1)</w:t>
            </w:r>
          </w:p>
        </w:tc>
      </w:tr>
      <w:tr w:rsidR="00CB50AE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CB50AE" w:rsidRDefault="00CB50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CB50AE">
        <w:trPr>
          <w:gridAfter w:val="1"/>
          <w:wAfter w:w="57" w:type="dxa"/>
          <w:jc w:val="center"/>
        </w:trPr>
        <w:tc>
          <w:tcPr>
            <w:tcW w:w="3348" w:type="dxa"/>
          </w:tcPr>
          <w:p w:rsidR="00CB50AE" w:rsidRDefault="00CB50AE">
            <w:pPr>
              <w:pStyle w:val="BSberschrift3"/>
              <w:spacing w:after="0"/>
              <w:ind w:left="0"/>
              <w:rPr>
                <w:rFonts w:cs="Arial"/>
              </w:rPr>
            </w:pPr>
            <w:r>
              <w:rPr>
                <w:rFonts w:cs="Arial"/>
                <w:sz w:val="24"/>
              </w:rPr>
              <w:t>Kirche und Auschwitz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Antijudaismus und Antisemitismus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Beispiele aus der Geschichte der Judenverfolgung  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Die NS-Judenpolitik und Reaktionen der Kirchen 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Ein Beispiel christlichen Widerstandes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Christen und Juden nach Auschwitz: z. B. EKD-Denkschriften ‚Juden und Christen’, Aktion Sühnezeichen, Spurensuche vor Ort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Nach Auschwitz an Gott glauben?</w:t>
            </w:r>
          </w:p>
        </w:tc>
        <w:tc>
          <w:tcPr>
            <w:tcW w:w="3060" w:type="dxa"/>
          </w:tcPr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Klagen und Anklagen formulieren, die das Unfassliche versuchen vor Gott auszudrücken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Recherche in der eigenen Region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Kritischer und verantwortlicher Umgang mit antijudaistischen Bibelstellen und Bibelauslegungen 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Geschichte, Klasse 9:</w:t>
            </w:r>
            <w:r>
              <w:rPr>
                <w:rFonts w:ascii="Arial" w:hAnsi="Arial" w:cs="Arial"/>
                <w:sz w:val="18"/>
              </w:rPr>
              <w:t xml:space="preserve"> Nationalsozialistische Ideologie; persönliche Schicksale der weltanschaulichen und rassischen Verfolgung; Akzeptanz und Widerstand; „historische Verantwortung“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Deutsch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Paul Celan - Todesfuge</w:t>
            </w:r>
          </w:p>
        </w:tc>
        <w:tc>
          <w:tcPr>
            <w:tcW w:w="3101" w:type="dxa"/>
          </w:tcPr>
          <w:p w:rsidR="00CB50AE" w:rsidRDefault="00CB50AE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Auseinandersetzung mit heutigen Formen des Rechtsradikalismus und deren Denkmustern – Vergleich mit Antijudaismus und Antisemitismus zur Zeit des 3:Reiches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</w:tr>
    </w:tbl>
    <w:p w:rsidR="00CB50AE" w:rsidRDefault="00CB50AE"/>
    <w:p w:rsidR="00CB50AE" w:rsidRDefault="00CB50A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CB50AE">
        <w:trPr>
          <w:trHeight w:val="238"/>
          <w:jc w:val="center"/>
        </w:trPr>
        <w:tc>
          <w:tcPr>
            <w:tcW w:w="14426" w:type="dxa"/>
            <w:gridSpan w:val="7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CB50AE">
        <w:trPr>
          <w:trHeight w:val="1911"/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können unterschiedliche Ansätze oder Methoden der Textauslegung auf biblische Beispi</w:t>
            </w:r>
            <w:r>
              <w:rPr>
                <w:rFonts w:cs="Arial"/>
                <w:b/>
                <w:bCs/>
                <w:sz w:val="18"/>
              </w:rPr>
              <w:t>e</w:t>
            </w:r>
            <w:r>
              <w:rPr>
                <w:rFonts w:cs="Arial"/>
                <w:b/>
                <w:bCs/>
                <w:sz w:val="18"/>
              </w:rPr>
              <w:t>le anwenden (3.1)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historische Informationen zu biblischen Texten beschaffen (3.2)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 einem Beispiel Aspekte der Wirkungsgeschichte der Bibel darstellen und r</w:t>
            </w:r>
            <w:r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>flektieren (3.3)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</w:pPr>
            <w:r>
              <w:rPr>
                <w:rFonts w:cs="Arial"/>
                <w:sz w:val="18"/>
              </w:rPr>
              <w:t>können Sprachformen der Bibel als Ausdruck unterschiedlicher Erfahrungen mit Gott de</w:t>
            </w:r>
            <w:r>
              <w:rPr>
                <w:rFonts w:cs="Arial"/>
                <w:sz w:val="18"/>
              </w:rPr>
              <w:t>u</w:t>
            </w:r>
            <w:r>
              <w:rPr>
                <w:rFonts w:cs="Arial"/>
                <w:sz w:val="18"/>
              </w:rPr>
              <w:t>ten (4.1)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aufzeigen, wie Kenntnisse über die Entstehungssituation biblischer Texte zu d</w:t>
            </w:r>
            <w:r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>ren Verständnis beitragen (3.1)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 einem biblischen Beispiel den Zusammenhang von literarischer Gattung, Au</w:t>
            </w:r>
            <w:r>
              <w:rPr>
                <w:rFonts w:cs="Arial"/>
                <w:sz w:val="18"/>
              </w:rPr>
              <w:t>s</w:t>
            </w:r>
            <w:r>
              <w:rPr>
                <w:rFonts w:cs="Arial"/>
                <w:sz w:val="18"/>
              </w:rPr>
              <w:t>sageabsicht und Sitz im Leben erläutern (3.2)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verschiedene methodische Zugänge zu biblischen Texten und können sie a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satzweise beurteilen (3.3)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aufzeigen, wie Menschen versuchen sich in unterschiedlichen Ausdrucksweisen der Wirklichkeit Gottes anzunähern (3.4)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 einem Beispiel Möglichkeiten des Redens von Gott erläutern und seine Gre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zen aufzeigen (4.1)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</w:pPr>
            <w:r>
              <w:rPr>
                <w:rFonts w:cs="Arial"/>
                <w:sz w:val="18"/>
              </w:rPr>
              <w:t>können an biblischen Texten zeigen, wie Geschichte als Weg Gottes mit den Menschen gedeutet wird und wie Nähe und Abwesenheit Gottes erfahren werden (4.2)</w:t>
            </w:r>
          </w:p>
        </w:tc>
      </w:tr>
      <w:tr w:rsidR="00CB50AE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CB50AE" w:rsidRDefault="00CB50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CB50AE">
        <w:trPr>
          <w:gridAfter w:val="1"/>
          <w:wAfter w:w="57" w:type="dxa"/>
          <w:jc w:val="center"/>
        </w:trPr>
        <w:tc>
          <w:tcPr>
            <w:tcW w:w="3348" w:type="dxa"/>
          </w:tcPr>
          <w:p w:rsidR="00CB50AE" w:rsidRDefault="00CB50AE">
            <w:pPr>
              <w:pStyle w:val="BSberschrift3"/>
              <w:spacing w:after="0"/>
              <w:ind w:left="0"/>
              <w:rPr>
                <w:rFonts w:cs="Arial"/>
              </w:rPr>
            </w:pPr>
            <w:r>
              <w:rPr>
                <w:rFonts w:cs="Arial"/>
                <w:sz w:val="24"/>
              </w:rPr>
              <w:t>Bibel verstehen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Die Vielfalt biblischer Sprachformen als Ausdruck unterschiedlicher Erfahrungen mit Gott 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Unterschiedliche Ansätze und Methoden der Bibelauslegung 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Wirkungsgeschichte der Bibel an einem Beispiel (z. B. Pazifismus, Apokalyptik, A</w:t>
            </w:r>
            <w:r>
              <w:rPr>
                <w:rFonts w:cs="Arial"/>
                <w:sz w:val="18"/>
              </w:rPr>
              <w:t>r</w:t>
            </w:r>
            <w:r>
              <w:rPr>
                <w:rFonts w:cs="Arial"/>
                <w:sz w:val="18"/>
              </w:rPr>
              <w:t xml:space="preserve">mutsideal, Antijudaismus) </w:t>
            </w:r>
          </w:p>
        </w:tc>
        <w:tc>
          <w:tcPr>
            <w:tcW w:w="3060" w:type="dxa"/>
          </w:tcPr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Für unterschiedliche Lebenssituationen jeweils passende biblische Sprachformen und Texte finden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Bibelausgaben mit allen Teilen des Anhangs nutzen können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Biblische Texte im Zusammenhang des Kanons bedenken und auslegen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Deutsch</w:t>
            </w:r>
            <w:r>
              <w:rPr>
                <w:rFonts w:ascii="Arial" w:hAnsi="Arial" w:cs="Arial"/>
                <w:sz w:val="18"/>
              </w:rPr>
              <w:t>: Umgang mit literarischen und nichtliterarischen Texten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</w:p>
          <w:p w:rsidR="00CB50AE" w:rsidRDefault="00CB50AE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Wirkungsgeschichte der Bibel 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CB50AE" w:rsidRDefault="00CB50AE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Musik </w:t>
            </w:r>
            <w:r>
              <w:rPr>
                <w:rFonts w:ascii="Arial" w:hAnsi="Arial" w:cs="Arial"/>
                <w:sz w:val="18"/>
              </w:rPr>
              <w:t>(s. die ausführliche Beispielsammlung zur Werkauswahl im Bildungsplan)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Bildende Kunst</w:t>
            </w:r>
            <w:r>
              <w:rPr>
                <w:rFonts w:ascii="Arial" w:hAnsi="Arial" w:cs="Arial"/>
                <w:sz w:val="18"/>
              </w:rPr>
              <w:t>: Exemplarische Werke untersuchen, z.B. nach formalen Gestaltungsmerkmalen</w:t>
            </w:r>
          </w:p>
        </w:tc>
        <w:tc>
          <w:tcPr>
            <w:tcW w:w="3101" w:type="dxa"/>
          </w:tcPr>
          <w:p w:rsidR="00CB50AE" w:rsidRDefault="00CB50AE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Biblisches Hilfsethos und Kultur der Barmherzigkeit </w:t>
            </w: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Sozialpraktika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</w:tr>
    </w:tbl>
    <w:p w:rsidR="00CB50AE" w:rsidRDefault="00CB50AE"/>
    <w:p w:rsidR="00CB50AE" w:rsidRDefault="00CB50A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CB50AE">
        <w:trPr>
          <w:trHeight w:val="238"/>
          <w:jc w:val="center"/>
        </w:trPr>
        <w:tc>
          <w:tcPr>
            <w:tcW w:w="14426" w:type="dxa"/>
            <w:gridSpan w:val="7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CB50AE">
        <w:trPr>
          <w:trHeight w:val="1911"/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können zwei weitere, gegenwärtig relevante ethische Ansätze darstellen und mögliche Auswirkungen für die Bearbeitung aktueller ethischer Probleme daraus ableiten (2.3)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 Beispielen erklären, dass menschliches Leben verantwortliche Gestaltung braucht, und auf Werte, Normen und auf Vergebung angewiesen ist (1.3)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zentrale ethische Aussagen der Bibel (Dekalog; wichtige Abschnitte der Bergpr</w:t>
            </w:r>
            <w:r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>digt, z.B. Goldene Regel; Doppelgebot der Liebe) in eine normenkritische Urteilsbildung einbeziehen (2.1)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daraus sich ergebende Herausforderungen für die eigene Lebensführung und die Mitgestaltung der Gesellschaft (2.2)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</w:pP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verstehen, dass es zum Menschsein gehört, sich entscheiden zu müssen und zu En</w:t>
            </w:r>
            <w:r>
              <w:rPr>
                <w:rFonts w:cs="Arial"/>
                <w:sz w:val="18"/>
              </w:rPr>
              <w:t>t</w:t>
            </w:r>
            <w:r>
              <w:rPr>
                <w:rFonts w:cs="Arial"/>
                <w:sz w:val="18"/>
              </w:rPr>
              <w:t>scheidungen zu stehen (1.3)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das Anliegen des konziliaren Prozesses darlegen und argumentativ begründen (2.1)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an einem Beispiel den Zusammenhang zwischen Werten und Normen aufzeigen (2.2)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Schri</w:t>
            </w:r>
            <w:r>
              <w:rPr>
                <w:rFonts w:cs="Arial"/>
                <w:sz w:val="18"/>
              </w:rPr>
              <w:t>t</w:t>
            </w:r>
            <w:r>
              <w:rPr>
                <w:rFonts w:cs="Arial"/>
                <w:sz w:val="18"/>
              </w:rPr>
              <w:t>te der ethischen Entscheidungsfindung darlegen (2.3)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an einem Beispiel aufzeigen, in welcher Weise sich Christen bei einer ethischen Entsche</w:t>
            </w:r>
            <w:r>
              <w:rPr>
                <w:rFonts w:cs="Arial"/>
                <w:sz w:val="18"/>
              </w:rPr>
              <w:t>i</w:t>
            </w:r>
            <w:r>
              <w:rPr>
                <w:rFonts w:cs="Arial"/>
                <w:sz w:val="18"/>
              </w:rPr>
              <w:t>dung u.a. an Weisungen des Dekalogs, an Jesu Leben, Handeln und Lehre und an kirc</w:t>
            </w:r>
            <w:r>
              <w:rPr>
                <w:rFonts w:cs="Arial"/>
                <w:sz w:val="18"/>
              </w:rPr>
              <w:t>h</w:t>
            </w:r>
            <w:r>
              <w:rPr>
                <w:rFonts w:cs="Arial"/>
                <w:sz w:val="18"/>
              </w:rPr>
              <w:t>lichen Traditi</w:t>
            </w:r>
            <w:r>
              <w:rPr>
                <w:rFonts w:cs="Arial"/>
                <w:sz w:val="18"/>
              </w:rPr>
              <w:t>o</w:t>
            </w:r>
            <w:r>
              <w:rPr>
                <w:rFonts w:cs="Arial"/>
                <w:sz w:val="18"/>
              </w:rPr>
              <w:t>nen orientieren (2.4)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sz w:val="20"/>
              </w:rPr>
            </w:pPr>
            <w:r>
              <w:rPr>
                <w:rFonts w:cs="Arial"/>
                <w:sz w:val="18"/>
              </w:rPr>
              <w:t>verstehen, dass nach christlichem Verständnis Gott sich den Menschen bedingungslos zuwendet und dass dieses Angebot ernst zu nehmende Konsequenzen hat (u. a. Weisu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gen und No</w:t>
            </w:r>
            <w:r>
              <w:rPr>
                <w:rFonts w:cs="Arial"/>
                <w:sz w:val="18"/>
              </w:rPr>
              <w:t>r</w:t>
            </w:r>
            <w:r>
              <w:rPr>
                <w:rFonts w:cs="Arial"/>
                <w:sz w:val="18"/>
              </w:rPr>
              <w:t>men) (4.3)</w:t>
            </w:r>
          </w:p>
        </w:tc>
      </w:tr>
      <w:tr w:rsidR="00CB50AE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CB50AE" w:rsidRDefault="00CB50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CB50AE">
        <w:trPr>
          <w:gridAfter w:val="1"/>
          <w:wAfter w:w="57" w:type="dxa"/>
          <w:jc w:val="center"/>
        </w:trPr>
        <w:tc>
          <w:tcPr>
            <w:tcW w:w="3348" w:type="dxa"/>
          </w:tcPr>
          <w:p w:rsidR="00CB50AE" w:rsidRDefault="00CB50AE">
            <w:pPr>
              <w:pStyle w:val="BSberschrift3"/>
              <w:spacing w:after="0"/>
              <w:ind w:left="0"/>
              <w:rPr>
                <w:rFonts w:cs="Arial"/>
              </w:rPr>
            </w:pPr>
            <w:r>
              <w:rPr>
                <w:rFonts w:cs="Arial"/>
                <w:sz w:val="24"/>
              </w:rPr>
              <w:t>Einführung in die Ethik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Erfahrungen mit persönlichen und gesellschaftlichen Werten und Normen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Zwei ausgewählte Ansätze für ethisches Handeln: z.B. Nutzenethik, Verantwortung</w:t>
            </w:r>
            <w:r>
              <w:rPr>
                <w:rFonts w:cs="Arial"/>
                <w:sz w:val="18"/>
              </w:rPr>
              <w:t>s</w:t>
            </w:r>
            <w:r>
              <w:rPr>
                <w:rFonts w:cs="Arial"/>
                <w:sz w:val="18"/>
              </w:rPr>
              <w:t>ethik, Prinzipienethik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Grundbausteine einer christlichen Ethik: Dekalog, Doppelgebot der Liebe, Goldene Regel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Aktuelle ethische Probleme und Fragestellungen im Licht unterschiedlicher ethischer A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sätze</w:t>
            </w:r>
          </w:p>
        </w:tc>
        <w:tc>
          <w:tcPr>
            <w:tcW w:w="3060" w:type="dxa"/>
          </w:tcPr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Mögliche Zusammenhänge zwischen Glauben und ethischem Handeln benennen können.</w:t>
            </w:r>
          </w:p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Sorgfältiges und aktives Zuhören ermöglicht das Erfassen unterschiedlicher Argumentationen. 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Dilemmadiskussio-nen führen können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Schritte ethischer Urteilsbildung in Ansätzen anwenden können 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Hinweise auf die Bedeutung verantwortlichen Handelns in den Bildungsstandards vieler Fächer, insbesondere auch der Naturwissenschaften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Gemeinsame Projekte z.B. mit katholischer Religionslehre, Ethik und naturwissenschaftlichen Fächern</w:t>
            </w:r>
          </w:p>
        </w:tc>
        <w:tc>
          <w:tcPr>
            <w:tcW w:w="3101" w:type="dxa"/>
          </w:tcPr>
          <w:p w:rsidR="00CB50AE" w:rsidRDefault="00CB50AE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Dilemmadiskussionen</w:t>
            </w:r>
            <w:r>
              <w:rPr>
                <w:rFonts w:ascii="Arial" w:hAnsi="Arial" w:cs="Arial"/>
                <w:sz w:val="18"/>
              </w:rPr>
              <w:t xml:space="preserve"> als eine Möglichkeit moralischen Lernens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</w:tr>
    </w:tbl>
    <w:p w:rsidR="00CB50AE" w:rsidRDefault="00CB50A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CB50AE">
        <w:trPr>
          <w:trHeight w:val="238"/>
          <w:jc w:val="center"/>
        </w:trPr>
        <w:tc>
          <w:tcPr>
            <w:tcW w:w="14426" w:type="dxa"/>
            <w:gridSpan w:val="7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CB50AE">
        <w:trPr>
          <w:trHeight w:val="1911"/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können Ausdrucksformen hinduistischen Glaubens und Lebens erläutern (7.1)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das christliche Gottesverständnis mit hinduistischen oder buddhistischen Vorste</w:t>
            </w:r>
            <w:r>
              <w:rPr>
                <w:rFonts w:cs="Arial"/>
                <w:sz w:val="18"/>
              </w:rPr>
              <w:t>l</w:t>
            </w:r>
            <w:r>
              <w:rPr>
                <w:rFonts w:cs="Arial"/>
                <w:sz w:val="18"/>
              </w:rPr>
              <w:t>lungen vergleichen (4.5)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das Verständnis Jesu im christlichen Glauben abheben vom Verständnis religiös herausragender Menschen im Hinduismus oder Buddhismus (5.3)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das hinduistische Verständnis von Leben und Tod entfalten und mit christlichen Vorstellungen vergleichen (7.2)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mindestens drei Götter der hinduistischen Götterwelt mit ihren jeweiligen Attrib</w:t>
            </w:r>
            <w:r>
              <w:rPr>
                <w:rFonts w:cs="Arial"/>
                <w:sz w:val="18"/>
              </w:rPr>
              <w:t>u</w:t>
            </w:r>
            <w:r>
              <w:rPr>
                <w:rFonts w:cs="Arial"/>
                <w:sz w:val="18"/>
              </w:rPr>
              <w:t>ten beschreiben und deren Bedeutung darlegen (7.3)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i/>
                <w:iCs/>
              </w:rPr>
            </w:pPr>
            <w:r>
              <w:rPr>
                <w:rFonts w:cs="Arial"/>
                <w:sz w:val="18"/>
              </w:rPr>
              <w:t>können Heilswege des Hinduismus darstellen (7.4)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den Hinduismus in Grundzügen darstellen, z.B. Prägung des Alltagslebens, ve</w:t>
            </w:r>
            <w:r>
              <w:rPr>
                <w:rFonts w:cs="Arial"/>
                <w:sz w:val="18"/>
              </w:rPr>
              <w:t>r</w:t>
            </w:r>
            <w:r>
              <w:rPr>
                <w:rFonts w:cs="Arial"/>
                <w:sz w:val="18"/>
              </w:rPr>
              <w:t>schiedene Gottesvorstellungen, und ihn mit dem Christentum vergleichen (7.2)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sz w:val="20"/>
              </w:rPr>
            </w:pPr>
            <w:r>
              <w:rPr>
                <w:rFonts w:cs="Arial"/>
                <w:sz w:val="18"/>
              </w:rPr>
              <w:t>sind aufgrund eines kritischen und selbstkritischen Vergleichs in Ansätzen zu einem Di</w:t>
            </w:r>
            <w:r>
              <w:rPr>
                <w:rFonts w:cs="Arial"/>
                <w:sz w:val="18"/>
              </w:rPr>
              <w:t>a</w:t>
            </w:r>
            <w:r>
              <w:rPr>
                <w:rFonts w:cs="Arial"/>
                <w:sz w:val="18"/>
              </w:rPr>
              <w:t>log mit anderen Religionen und Weltanschauungen befähigt (7.4)</w:t>
            </w:r>
          </w:p>
        </w:tc>
      </w:tr>
      <w:tr w:rsidR="00CB50AE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CB50AE" w:rsidRDefault="00CB50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CB50AE">
        <w:trPr>
          <w:gridAfter w:val="1"/>
          <w:wAfter w:w="57" w:type="dxa"/>
          <w:jc w:val="center"/>
        </w:trPr>
        <w:tc>
          <w:tcPr>
            <w:tcW w:w="3348" w:type="dxa"/>
          </w:tcPr>
          <w:p w:rsidR="00CB50AE" w:rsidRDefault="00CB50AE">
            <w:pPr>
              <w:pStyle w:val="BSberschrift3"/>
              <w:spacing w:after="0"/>
              <w:ind w:left="0"/>
              <w:rPr>
                <w:rFonts w:cs="Arial"/>
              </w:rPr>
            </w:pPr>
            <w:r>
              <w:rPr>
                <w:rFonts w:cs="Arial"/>
                <w:sz w:val="24"/>
              </w:rPr>
              <w:t>Hinduismus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Ausdrucksformen hinduistischen Glaubens und Lebens mit seinen anthropologischen, sozialen und ethischen Implikationen (z. B. Kasten)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Verständnis von Leben und Tod im Vergleich mit christlichen Vorstellungen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Geographische Verbreitung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Hinduistische Götterwelt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Heilswege des Hinduismus und Vergleich mit christlichen Heilsvorstellungen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Herausragende Gestalten des Hinduismus: z. B. Mahatma Gandhi</w:t>
            </w:r>
          </w:p>
        </w:tc>
        <w:tc>
          <w:tcPr>
            <w:tcW w:w="3060" w:type="dxa"/>
          </w:tcPr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Sich bewusst sein, inwiefern andere Religionen einem fremd sein können und diese Fremdheit respektieren.</w:t>
            </w:r>
          </w:p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Sich seiner eigenen religiösen Verortung bewusst werden, diese klären und gegenüber anderen vertreten.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Einüben interkultureller Kompetenz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Europäische Kulturen wahrnehmen mit einen „fremden Blick“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Geographie / Gemeinschaftskunde / Wirtschaft:</w:t>
            </w:r>
            <w:r>
              <w:rPr>
                <w:rFonts w:ascii="Arial" w:hAnsi="Arial" w:cs="Arial"/>
                <w:sz w:val="18"/>
              </w:rPr>
              <w:t xml:space="preserve"> Wirtschaftsstrukturen und Wirtschaftsprozesse am Beispiel Indiens</w:t>
            </w:r>
          </w:p>
          <w:p w:rsidR="00CB50AE" w:rsidRDefault="00CB50AE">
            <w:pPr>
              <w:pStyle w:val="Funotentext"/>
              <w:rPr>
                <w:rFonts w:cs="Arial"/>
                <w:szCs w:val="24"/>
              </w:rPr>
            </w:pPr>
          </w:p>
        </w:tc>
        <w:tc>
          <w:tcPr>
            <w:tcW w:w="3101" w:type="dxa"/>
          </w:tcPr>
          <w:p w:rsidR="00CB50AE" w:rsidRDefault="00CB50AE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</w:tr>
    </w:tbl>
    <w:p w:rsidR="00CB50AE" w:rsidRDefault="00CB50AE"/>
    <w:p w:rsidR="00CB50AE" w:rsidRDefault="00CB50A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CB50AE">
        <w:trPr>
          <w:trHeight w:val="238"/>
          <w:jc w:val="center"/>
        </w:trPr>
        <w:tc>
          <w:tcPr>
            <w:tcW w:w="14426" w:type="dxa"/>
            <w:gridSpan w:val="7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CB50AE">
        <w:trPr>
          <w:trHeight w:val="1911"/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kennen die Buddhalegende und können sie auf Lehrinhalte des Buddhismus beziehen (7.5)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Ausdrucksformen buddhistischen Glaubens und Lebens erläutern (7.6)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die konstitutive Bedeutung des Mönchtums für den Buddhismus darstellen (7.7)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das buddhistische Verständnis von Leben und Tod entfalten und mit christlichen Vorstellungen vergleichen (7.8)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das christliche Gottesverständnis mit hinduistischen oder buddhistischen Vorste</w:t>
            </w:r>
            <w:r>
              <w:rPr>
                <w:rFonts w:cs="Arial"/>
                <w:sz w:val="18"/>
              </w:rPr>
              <w:t>l</w:t>
            </w:r>
            <w:r>
              <w:rPr>
                <w:rFonts w:cs="Arial"/>
                <w:sz w:val="18"/>
              </w:rPr>
              <w:t>lungen vergleichen (4.5)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i/>
                <w:iCs/>
              </w:rPr>
            </w:pPr>
            <w:r>
              <w:rPr>
                <w:rFonts w:cs="Arial"/>
                <w:sz w:val="18"/>
              </w:rPr>
              <w:t>können das Verständnis Jesu im christlichen Glauben abheben vom Verständnis religiös herausragender Menschen im Hinduismus oder Buddhismus (5.3)</w:t>
            </w:r>
          </w:p>
        </w:tc>
        <w:tc>
          <w:tcPr>
            <w:tcW w:w="7298" w:type="dxa"/>
            <w:gridSpan w:val="4"/>
          </w:tcPr>
          <w:p w:rsidR="00CB50AE" w:rsidRDefault="00CB50AE">
            <w:r>
              <w:t>Die Schülerinnen und Schüler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anhand der Biographie des Buddha zentrale Überzeugungen und Lebensziele des Buddhismus erläutern und mit dem Christentum vergleichen (7.3)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sz w:val="20"/>
              </w:rPr>
            </w:pPr>
            <w:r>
              <w:rPr>
                <w:rFonts w:cs="Arial"/>
                <w:sz w:val="18"/>
              </w:rPr>
              <w:t>sind aufgrund eines kritischen und selbstkritischen Vergleichs in Ansätzen zu einem Di</w:t>
            </w:r>
            <w:r>
              <w:rPr>
                <w:rFonts w:cs="Arial"/>
                <w:sz w:val="18"/>
              </w:rPr>
              <w:t>a</w:t>
            </w:r>
            <w:r>
              <w:rPr>
                <w:rFonts w:cs="Arial"/>
                <w:sz w:val="18"/>
              </w:rPr>
              <w:t>log mit anderen Religionen und Weltanschauungen befähigt (7.4)</w:t>
            </w:r>
          </w:p>
        </w:tc>
      </w:tr>
      <w:tr w:rsidR="00CB50AE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CB50AE" w:rsidRDefault="00CB50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CB50AE">
        <w:trPr>
          <w:gridAfter w:val="1"/>
          <w:wAfter w:w="57" w:type="dxa"/>
          <w:jc w:val="center"/>
        </w:trPr>
        <w:tc>
          <w:tcPr>
            <w:tcW w:w="3348" w:type="dxa"/>
          </w:tcPr>
          <w:p w:rsidR="00CB50AE" w:rsidRDefault="00CB50AE">
            <w:pPr>
              <w:pStyle w:val="BSberschrift3"/>
              <w:spacing w:after="0"/>
              <w:ind w:left="0"/>
              <w:rPr>
                <w:rFonts w:cs="Arial"/>
              </w:rPr>
            </w:pPr>
            <w:r>
              <w:rPr>
                <w:rFonts w:cs="Arial"/>
                <w:sz w:val="24"/>
              </w:rPr>
              <w:t>Buddhismus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Ausdrucksformen buddhistischen Glaubens und Lebens, z. B. Ikonographie (z. B. Bud</w:t>
            </w:r>
            <w:r>
              <w:rPr>
                <w:rFonts w:cs="Arial"/>
                <w:sz w:val="18"/>
              </w:rPr>
              <w:t>d</w:t>
            </w:r>
            <w:r>
              <w:rPr>
                <w:rFonts w:cs="Arial"/>
                <w:sz w:val="18"/>
              </w:rPr>
              <w:t xml:space="preserve">hafigur) und Symbolsprache 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Verständnis von Leben und Tod im Vergleich mit christlichen Vorstellungen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Geographische Verbreitung und historische Entfaltung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Die Buddhalegende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Heilswege des Buddhismus  und Vergleich mit christlichen Heilsvorstellungen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</w:pPr>
            <w:r>
              <w:rPr>
                <w:rFonts w:cs="Arial"/>
                <w:sz w:val="18"/>
              </w:rPr>
              <w:t>Mönchtum und herausragende Gestalten des Buddhismus: z. B. Dalai Lama</w:t>
            </w:r>
          </w:p>
        </w:tc>
        <w:tc>
          <w:tcPr>
            <w:tcW w:w="3060" w:type="dxa"/>
          </w:tcPr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Sich bewusst sein, inwiefern andere Religionen einem fremd sein können und diese Fremdheit respektieren.</w:t>
            </w:r>
          </w:p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Sich seiner eigenen religiösen Verortung bewusst werden, diese klären und gegenüber anderen vertreten.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Einüben interkultureller Kompetenz</w:t>
            </w:r>
          </w:p>
          <w:p w:rsidR="00CB50AE" w:rsidRDefault="00CB50AE">
            <w:pPr>
              <w:pStyle w:val="BSAufzhlung1"/>
              <w:tabs>
                <w:tab w:val="clear" w:pos="360"/>
                <w:tab w:val="num" w:pos="322"/>
              </w:tabs>
              <w:spacing w:after="0" w:line="240" w:lineRule="auto"/>
              <w:ind w:left="322" w:hanging="32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Europäische Kulturen wahrnehmen mit einen „fremden Blick“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1" w:type="dxa"/>
          </w:tcPr>
          <w:p w:rsidR="00CB50AE" w:rsidRDefault="00CB50AE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</w:tr>
    </w:tbl>
    <w:p w:rsidR="00CB50AE" w:rsidRDefault="00CB50AE"/>
    <w:p w:rsidR="00CB50AE" w:rsidRDefault="00CB50AE"/>
    <w:p w:rsidR="00CB50AE" w:rsidRDefault="00CB50AE">
      <w:pPr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Vorschlag für ein Modul im Rahmen des Schulcurriculums:</w:t>
      </w:r>
    </w:p>
    <w:p w:rsidR="00CB50AE" w:rsidRDefault="00CB50AE">
      <w:pPr>
        <w:rPr>
          <w:rFonts w:ascii="Arial" w:hAnsi="Arial" w:cs="Arial"/>
          <w:b/>
          <w:bCs/>
          <w:i/>
          <w:i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CB50AE">
        <w:trPr>
          <w:trHeight w:val="238"/>
          <w:jc w:val="center"/>
        </w:trPr>
        <w:tc>
          <w:tcPr>
            <w:tcW w:w="14426" w:type="dxa"/>
            <w:gridSpan w:val="7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CB50AE">
        <w:trPr>
          <w:trHeight w:val="1911"/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0AE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CB50AE" w:rsidRDefault="00CB50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CB50AE">
        <w:trPr>
          <w:gridAfter w:val="1"/>
          <w:wAfter w:w="57" w:type="dxa"/>
          <w:jc w:val="center"/>
        </w:trPr>
        <w:tc>
          <w:tcPr>
            <w:tcW w:w="3348" w:type="dxa"/>
          </w:tcPr>
          <w:p w:rsidR="00CB50AE" w:rsidRDefault="00CB50AE">
            <w:pPr>
              <w:pStyle w:val="BSberschrift3"/>
              <w:spacing w:after="0"/>
              <w:ind w:left="0"/>
              <w:rPr>
                <w:rFonts w:cs="Arial"/>
                <w:sz w:val="18"/>
              </w:rPr>
            </w:pPr>
            <w:r>
              <w:rPr>
                <w:rFonts w:cs="Arial"/>
                <w:sz w:val="24"/>
              </w:rPr>
              <w:t>Sinn und Bedeutung von Arbeit</w:t>
            </w:r>
          </w:p>
        </w:tc>
        <w:tc>
          <w:tcPr>
            <w:tcW w:w="3060" w:type="dxa"/>
          </w:tcPr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Wirtschaft: Der Wandel in der Berufs- und Arbeitswelt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1" w:type="dxa"/>
          </w:tcPr>
          <w:p w:rsidR="00CB50AE" w:rsidRDefault="00CB50AE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BOGY</w:t>
            </w: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</w:tr>
    </w:tbl>
    <w:p w:rsidR="00CB50AE" w:rsidRDefault="00CB50AE"/>
    <w:p w:rsidR="00CB50AE" w:rsidRDefault="00CB50AE">
      <w:pPr>
        <w:pStyle w:val="berschrift4"/>
        <w:rPr>
          <w:bCs w:val="0"/>
          <w:sz w:val="20"/>
          <w:szCs w:val="24"/>
        </w:rPr>
      </w:pPr>
      <w:r>
        <w:rPr>
          <w:bCs w:val="0"/>
          <w:sz w:val="20"/>
          <w:szCs w:val="24"/>
        </w:rPr>
        <w:t>Leerschablone für zusätzliche Einheiten gemäß dem Schulcurriculum</w:t>
      </w:r>
    </w:p>
    <w:p w:rsidR="00CB50AE" w:rsidRDefault="00CB50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z.B. </w:t>
      </w:r>
    </w:p>
    <w:p w:rsidR="00CB50AE" w:rsidRDefault="00CB50A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CB50AE">
        <w:trPr>
          <w:trHeight w:val="238"/>
          <w:jc w:val="center"/>
        </w:trPr>
        <w:tc>
          <w:tcPr>
            <w:tcW w:w="14426" w:type="dxa"/>
            <w:gridSpan w:val="7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CB50AE">
        <w:trPr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CB50AE">
        <w:trPr>
          <w:trHeight w:val="1911"/>
          <w:jc w:val="center"/>
        </w:trPr>
        <w:tc>
          <w:tcPr>
            <w:tcW w:w="7128" w:type="dxa"/>
            <w:gridSpan w:val="3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7298" w:type="dxa"/>
            <w:gridSpan w:val="4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CB50AE" w:rsidRDefault="00CB50AE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0AE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CB50AE" w:rsidRDefault="00CB50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CB50AE">
        <w:trPr>
          <w:gridAfter w:val="1"/>
          <w:wAfter w:w="57" w:type="dxa"/>
          <w:jc w:val="center"/>
        </w:trPr>
        <w:tc>
          <w:tcPr>
            <w:tcW w:w="3348" w:type="dxa"/>
          </w:tcPr>
          <w:p w:rsidR="00CB50AE" w:rsidRDefault="00CB50AE">
            <w:pPr>
              <w:pStyle w:val="BSAufzhlungP2"/>
              <w:numPr>
                <w:ilvl w:val="0"/>
                <w:numId w:val="3"/>
              </w:numPr>
              <w:tabs>
                <w:tab w:val="clear" w:pos="1134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060" w:type="dxa"/>
          </w:tcPr>
          <w:p w:rsidR="00CB50AE" w:rsidRDefault="00CB50AE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</w:p>
        </w:tc>
        <w:tc>
          <w:tcPr>
            <w:tcW w:w="2160" w:type="dxa"/>
            <w:gridSpan w:val="2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1" w:type="dxa"/>
          </w:tcPr>
          <w:p w:rsidR="00CB50AE" w:rsidRDefault="00CB50AE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CB50AE" w:rsidRDefault="00CB50AE">
            <w:pPr>
              <w:rPr>
                <w:rFonts w:ascii="Arial" w:hAnsi="Arial" w:cs="Arial"/>
                <w:sz w:val="18"/>
              </w:rPr>
            </w:pPr>
          </w:p>
        </w:tc>
      </w:tr>
    </w:tbl>
    <w:p w:rsidR="00CB50AE" w:rsidRDefault="00CB50AE"/>
    <w:sectPr w:rsidR="00CB50AE">
      <w:headerReference w:type="default" r:id="rId8"/>
      <w:pgSz w:w="16838" w:h="11906" w:orient="landscape" w:code="9"/>
      <w:pgMar w:top="73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4B9B">
      <w:r>
        <w:separator/>
      </w:r>
    </w:p>
  </w:endnote>
  <w:endnote w:type="continuationSeparator" w:id="0">
    <w:p w:rsidR="00000000" w:rsidRDefault="0086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4B9B">
      <w:r>
        <w:separator/>
      </w:r>
    </w:p>
  </w:footnote>
  <w:footnote w:type="continuationSeparator" w:id="0">
    <w:p w:rsidR="00000000" w:rsidRDefault="00864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AE" w:rsidRDefault="00CB50AE">
    <w:pPr>
      <w:pStyle w:val="Kopf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Zweijahresplan – Gymnasium 9/10 (4.Aprili 2007), Kumpf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  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864B9B">
      <w:rPr>
        <w:rStyle w:val="Seitenzahl"/>
        <w:rFonts w:ascii="Arial" w:hAnsi="Arial" w:cs="Arial"/>
        <w:noProof/>
        <w:sz w:val="16"/>
      </w:rPr>
      <w:t>1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>/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NUMPAGES </w:instrText>
    </w:r>
    <w:r>
      <w:rPr>
        <w:rStyle w:val="Seitenzahl"/>
        <w:rFonts w:ascii="Arial" w:hAnsi="Arial" w:cs="Arial"/>
        <w:sz w:val="16"/>
      </w:rPr>
      <w:fldChar w:fldCharType="separate"/>
    </w:r>
    <w:r w:rsidR="00864B9B">
      <w:rPr>
        <w:rStyle w:val="Seitenzahl"/>
        <w:rFonts w:ascii="Arial" w:hAnsi="Arial" w:cs="Arial"/>
        <w:noProof/>
        <w:sz w:val="16"/>
      </w:rPr>
      <w:t>3</w:t>
    </w:r>
    <w:r>
      <w:rPr>
        <w:rStyle w:val="Seitenzahl"/>
        <w:rFonts w:ascii="Arial" w:hAnsi="Arial" w:cs="Arial"/>
        <w:sz w:val="16"/>
      </w:rPr>
      <w:fldChar w:fldCharType="end"/>
    </w:r>
  </w:p>
  <w:p w:rsidR="00CB50AE" w:rsidRDefault="00CB50A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8BC"/>
    <w:multiLevelType w:val="hybridMultilevel"/>
    <w:tmpl w:val="09AA3322"/>
    <w:lvl w:ilvl="0" w:tplc="EF24CB98">
      <w:start w:val="1"/>
      <w:numFmt w:val="bullet"/>
      <w:lvlText w:val=""/>
      <w:lvlJc w:val="left"/>
      <w:pPr>
        <w:tabs>
          <w:tab w:val="num" w:pos="180"/>
        </w:tabs>
        <w:ind w:left="16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1B91372A"/>
    <w:multiLevelType w:val="hybridMultilevel"/>
    <w:tmpl w:val="15804302"/>
    <w:lvl w:ilvl="0" w:tplc="FFFFFFFF">
      <w:start w:val="1"/>
      <w:numFmt w:val="bullet"/>
      <w:pStyle w:val="BSAufzhlung1"/>
      <w:lvlText w:val="-"/>
      <w:lvlJc w:val="left"/>
      <w:pPr>
        <w:tabs>
          <w:tab w:val="num" w:pos="360"/>
        </w:tabs>
        <w:ind w:left="284" w:hanging="284"/>
      </w:pPr>
      <w:rPr>
        <w:rFonts w:ascii="StarBats" w:hAnsi="StarBat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>
    <w:nsid w:val="2A023A7B"/>
    <w:multiLevelType w:val="hybridMultilevel"/>
    <w:tmpl w:val="A7A01C5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0"/>
      </w:rPr>
    </w:lvl>
    <w:lvl w:ilvl="1" w:tplc="662645E2">
      <w:start w:val="1"/>
      <w:numFmt w:val="bullet"/>
      <w:lvlText w:val=""/>
      <w:lvlJc w:val="left"/>
      <w:pPr>
        <w:tabs>
          <w:tab w:val="num" w:pos="589"/>
        </w:tabs>
        <w:ind w:left="569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>
    <w:nsid w:val="4745541A"/>
    <w:multiLevelType w:val="hybridMultilevel"/>
    <w:tmpl w:val="4D426986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2A64AEF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1D"/>
    <w:rsid w:val="0065481D"/>
    <w:rsid w:val="00864B9B"/>
    <w:rsid w:val="00CB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/>
      <w:b/>
      <w:bCs/>
      <w:sz w:val="26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rFonts w:ascii="Arial" w:hAnsi="Arial"/>
      <w:sz w:val="18"/>
      <w:szCs w:val="20"/>
    </w:rPr>
  </w:style>
  <w:style w:type="character" w:styleId="Zeilennummer">
    <w:name w:val="line number"/>
    <w:basedOn w:val="Absatz-Standardschriftart"/>
    <w:rPr>
      <w:sz w:val="16"/>
    </w:rPr>
  </w:style>
  <w:style w:type="paragraph" w:customStyle="1" w:styleId="BSAufzhlungP2">
    <w:name w:val="BS_Aufzählung P2"/>
    <w:basedOn w:val="Standard"/>
    <w:pPr>
      <w:numPr>
        <w:numId w:val="1"/>
      </w:numPr>
      <w:tabs>
        <w:tab w:val="left" w:pos="1134"/>
      </w:tabs>
      <w:spacing w:line="300" w:lineRule="auto"/>
    </w:pPr>
    <w:rPr>
      <w:rFonts w:ascii="Arial" w:hAnsi="Arial"/>
      <w:sz w:val="22"/>
      <w:szCs w:val="20"/>
    </w:rPr>
  </w:style>
  <w:style w:type="paragraph" w:customStyle="1" w:styleId="BSLeerzeile">
    <w:name w:val="BS_Leerzeile"/>
    <w:basedOn w:val="Standard"/>
    <w:next w:val="Standard"/>
    <w:pPr>
      <w:suppressLineNumbers/>
      <w:spacing w:line="120" w:lineRule="auto"/>
    </w:pPr>
    <w:rPr>
      <w:rFonts w:ascii="Arial" w:hAnsi="Arial"/>
      <w:sz w:val="16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aliases w:val="BS_Seitenzahl"/>
    <w:basedOn w:val="Absatz-Standardschriftart"/>
  </w:style>
  <w:style w:type="paragraph" w:customStyle="1" w:styleId="BSberschrift3">
    <w:name w:val="BS_Überschrift3"/>
    <w:basedOn w:val="Standard"/>
    <w:next w:val="Standard"/>
    <w:pPr>
      <w:keepNext/>
      <w:suppressAutoHyphens/>
      <w:spacing w:after="120" w:line="300" w:lineRule="auto"/>
      <w:ind w:left="425"/>
    </w:pPr>
    <w:rPr>
      <w:rFonts w:ascii="Arial" w:hAnsi="Arial"/>
      <w:b/>
      <w:sz w:val="22"/>
      <w:szCs w:val="20"/>
    </w:rPr>
  </w:style>
  <w:style w:type="paragraph" w:customStyle="1" w:styleId="BSAufzhlung1">
    <w:name w:val="BS_Aufzählung1"/>
    <w:basedOn w:val="Standard"/>
    <w:pPr>
      <w:numPr>
        <w:numId w:val="4"/>
      </w:numPr>
      <w:tabs>
        <w:tab w:val="left" w:pos="709"/>
      </w:tabs>
      <w:spacing w:after="120" w:line="300" w:lineRule="auto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sid w:val="00654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/>
      <w:b/>
      <w:bCs/>
      <w:sz w:val="26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rFonts w:ascii="Arial" w:hAnsi="Arial"/>
      <w:sz w:val="18"/>
      <w:szCs w:val="20"/>
    </w:rPr>
  </w:style>
  <w:style w:type="character" w:styleId="Zeilennummer">
    <w:name w:val="line number"/>
    <w:basedOn w:val="Absatz-Standardschriftart"/>
    <w:rPr>
      <w:sz w:val="16"/>
    </w:rPr>
  </w:style>
  <w:style w:type="paragraph" w:customStyle="1" w:styleId="BSAufzhlungP2">
    <w:name w:val="BS_Aufzählung P2"/>
    <w:basedOn w:val="Standard"/>
    <w:pPr>
      <w:numPr>
        <w:numId w:val="1"/>
      </w:numPr>
      <w:tabs>
        <w:tab w:val="left" w:pos="1134"/>
      </w:tabs>
      <w:spacing w:line="300" w:lineRule="auto"/>
    </w:pPr>
    <w:rPr>
      <w:rFonts w:ascii="Arial" w:hAnsi="Arial"/>
      <w:sz w:val="22"/>
      <w:szCs w:val="20"/>
    </w:rPr>
  </w:style>
  <w:style w:type="paragraph" w:customStyle="1" w:styleId="BSLeerzeile">
    <w:name w:val="BS_Leerzeile"/>
    <w:basedOn w:val="Standard"/>
    <w:next w:val="Standard"/>
    <w:pPr>
      <w:suppressLineNumbers/>
      <w:spacing w:line="120" w:lineRule="auto"/>
    </w:pPr>
    <w:rPr>
      <w:rFonts w:ascii="Arial" w:hAnsi="Arial"/>
      <w:sz w:val="16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aliases w:val="BS_Seitenzahl"/>
    <w:basedOn w:val="Absatz-Standardschriftart"/>
  </w:style>
  <w:style w:type="paragraph" w:customStyle="1" w:styleId="BSberschrift3">
    <w:name w:val="BS_Überschrift3"/>
    <w:basedOn w:val="Standard"/>
    <w:next w:val="Standard"/>
    <w:pPr>
      <w:keepNext/>
      <w:suppressAutoHyphens/>
      <w:spacing w:after="120" w:line="300" w:lineRule="auto"/>
      <w:ind w:left="425"/>
    </w:pPr>
    <w:rPr>
      <w:rFonts w:ascii="Arial" w:hAnsi="Arial"/>
      <w:b/>
      <w:sz w:val="22"/>
      <w:szCs w:val="20"/>
    </w:rPr>
  </w:style>
  <w:style w:type="paragraph" w:customStyle="1" w:styleId="BSAufzhlung1">
    <w:name w:val="BS_Aufzählung1"/>
    <w:basedOn w:val="Standard"/>
    <w:pPr>
      <w:numPr>
        <w:numId w:val="4"/>
      </w:numPr>
      <w:tabs>
        <w:tab w:val="left" w:pos="709"/>
      </w:tabs>
      <w:spacing w:after="120" w:line="300" w:lineRule="auto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sid w:val="00654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2186</Words>
  <Characters>13776</Characters>
  <Application>Microsoft Office Word</Application>
  <DocSecurity>4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Zweijahresplan</vt:lpstr>
    </vt:vector>
  </TitlesOfParts>
  <Company/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Zweijahresplan</dc:title>
  <dc:creator>Kumpf</dc:creator>
  <cp:lastModifiedBy>Keitel</cp:lastModifiedBy>
  <cp:revision>2</cp:revision>
  <cp:lastPrinted>2007-11-05T11:59:00Z</cp:lastPrinted>
  <dcterms:created xsi:type="dcterms:W3CDTF">2013-08-07T15:13:00Z</dcterms:created>
  <dcterms:modified xsi:type="dcterms:W3CDTF">2013-08-07T15:13:00Z</dcterms:modified>
</cp:coreProperties>
</file>