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24B" w:rsidRDefault="0072524B" w:rsidP="0072524B">
      <w:pPr>
        <w:pStyle w:val="Titel"/>
      </w:pPr>
      <w:bookmarkStart w:id="0" w:name="_GoBack"/>
      <w:bookmarkEnd w:id="0"/>
      <w:r>
        <w:t>(M</w:t>
      </w:r>
      <w:r w:rsidR="000A323B">
        <w:t xml:space="preserve"> </w:t>
      </w:r>
      <w:r w:rsidR="002524F6">
        <w:t xml:space="preserve">2) </w:t>
      </w:r>
      <w:r w:rsidR="002524F6" w:rsidRPr="002524F6">
        <w:t xml:space="preserve">Begriffe aus einer alten Zeit </w:t>
      </w:r>
      <w:r w:rsidR="002524F6">
        <w:br/>
      </w:r>
      <w:r w:rsidR="002524F6" w:rsidRPr="002524F6">
        <w:t>der Theologie</w:t>
      </w:r>
    </w:p>
    <w:p w:rsidR="0072524B" w:rsidRPr="0072524B" w:rsidRDefault="0072524B" w:rsidP="002524F6">
      <w:pPr>
        <w:spacing w:after="0"/>
        <w:rPr>
          <w:b/>
          <w:sz w:val="32"/>
          <w:szCs w:val="32"/>
        </w:rPr>
      </w:pPr>
    </w:p>
    <w:tbl>
      <w:tblPr>
        <w:tblStyle w:val="Tabellenraster"/>
        <w:tblW w:w="7072" w:type="dxa"/>
        <w:jc w:val="center"/>
        <w:tblLook w:val="04A0" w:firstRow="1" w:lastRow="0" w:firstColumn="1" w:lastColumn="0" w:noHBand="0" w:noVBand="1"/>
      </w:tblPr>
      <w:tblGrid>
        <w:gridCol w:w="1274"/>
        <w:gridCol w:w="5798"/>
      </w:tblGrid>
      <w:tr w:rsidR="002524F6" w:rsidRPr="002524F6" w:rsidTr="002524F6">
        <w:trPr>
          <w:trHeight w:val="512"/>
          <w:jc w:val="center"/>
        </w:trPr>
        <w:tc>
          <w:tcPr>
            <w:tcW w:w="1274" w:type="dxa"/>
            <w:vAlign w:val="center"/>
          </w:tcPr>
          <w:p w:rsidR="002524F6" w:rsidRPr="002524F6" w:rsidRDefault="002524F6" w:rsidP="002524F6">
            <w:pPr>
              <w:jc w:val="center"/>
              <w:rPr>
                <w:b/>
                <w:sz w:val="32"/>
              </w:rPr>
            </w:pPr>
            <w:r w:rsidRPr="002524F6">
              <w:rPr>
                <w:b/>
                <w:sz w:val="32"/>
              </w:rPr>
              <w:t>Nr.</w:t>
            </w:r>
          </w:p>
        </w:tc>
        <w:tc>
          <w:tcPr>
            <w:tcW w:w="5798" w:type="dxa"/>
            <w:vAlign w:val="center"/>
          </w:tcPr>
          <w:p w:rsidR="002524F6" w:rsidRPr="002524F6" w:rsidRDefault="002524F6" w:rsidP="002524F6">
            <w:pPr>
              <w:jc w:val="center"/>
              <w:rPr>
                <w:b/>
                <w:sz w:val="32"/>
              </w:rPr>
            </w:pPr>
            <w:r w:rsidRPr="002524F6">
              <w:rPr>
                <w:b/>
                <w:sz w:val="32"/>
              </w:rPr>
              <w:t>Begriff/Ausdruck</w:t>
            </w:r>
          </w:p>
        </w:tc>
      </w:tr>
      <w:tr w:rsidR="002524F6" w:rsidRPr="009A7042" w:rsidTr="002524F6">
        <w:trPr>
          <w:trHeight w:val="1197"/>
          <w:jc w:val="center"/>
        </w:trPr>
        <w:tc>
          <w:tcPr>
            <w:tcW w:w="1274" w:type="dxa"/>
            <w:vAlign w:val="center"/>
          </w:tcPr>
          <w:p w:rsidR="002524F6" w:rsidRPr="009A7042" w:rsidRDefault="002524F6" w:rsidP="002524F6">
            <w:pPr>
              <w:jc w:val="center"/>
            </w:pPr>
            <w:r>
              <w:t>1</w:t>
            </w:r>
          </w:p>
        </w:tc>
        <w:tc>
          <w:tcPr>
            <w:tcW w:w="5798" w:type="dxa"/>
            <w:vAlign w:val="center"/>
          </w:tcPr>
          <w:p w:rsidR="002524F6" w:rsidRPr="009A7042" w:rsidRDefault="002524F6" w:rsidP="002524F6">
            <w:r w:rsidRPr="009A7042">
              <w:t>„Man soll in der Bibel, das suchen, was Christum treibet.“ [=was von Christus handelt und seine Botschaft präsent macht]</w:t>
            </w:r>
          </w:p>
        </w:tc>
      </w:tr>
      <w:tr w:rsidR="002524F6" w:rsidRPr="009A7042" w:rsidTr="002524F6">
        <w:trPr>
          <w:trHeight w:val="1061"/>
          <w:jc w:val="center"/>
        </w:trPr>
        <w:tc>
          <w:tcPr>
            <w:tcW w:w="1274" w:type="dxa"/>
            <w:vAlign w:val="center"/>
          </w:tcPr>
          <w:p w:rsidR="002524F6" w:rsidRPr="009A7042" w:rsidRDefault="002524F6" w:rsidP="002524F6">
            <w:pPr>
              <w:jc w:val="center"/>
            </w:pPr>
            <w:r>
              <w:t>2</w:t>
            </w:r>
          </w:p>
        </w:tc>
        <w:tc>
          <w:tcPr>
            <w:tcW w:w="5798" w:type="dxa"/>
            <w:vAlign w:val="center"/>
          </w:tcPr>
          <w:p w:rsidR="002524F6" w:rsidRPr="009A7042" w:rsidRDefault="002524F6" w:rsidP="002524F6">
            <w:r w:rsidRPr="009A7042">
              <w:t>„Die Liebe Gottes findet ihren Gegenstand nicht vor, sondern schafft ihn sich.“</w:t>
            </w:r>
          </w:p>
        </w:tc>
      </w:tr>
      <w:tr w:rsidR="002524F6" w:rsidRPr="009A7042" w:rsidTr="002524F6">
        <w:trPr>
          <w:trHeight w:val="1261"/>
          <w:jc w:val="center"/>
        </w:trPr>
        <w:tc>
          <w:tcPr>
            <w:tcW w:w="1274" w:type="dxa"/>
            <w:vAlign w:val="center"/>
          </w:tcPr>
          <w:p w:rsidR="002524F6" w:rsidRPr="009A7042" w:rsidRDefault="002524F6" w:rsidP="002524F6">
            <w:pPr>
              <w:jc w:val="center"/>
            </w:pPr>
            <w:r>
              <w:t>3</w:t>
            </w:r>
          </w:p>
        </w:tc>
        <w:tc>
          <w:tcPr>
            <w:tcW w:w="5798" w:type="dxa"/>
            <w:vAlign w:val="center"/>
          </w:tcPr>
          <w:p w:rsidR="002524F6" w:rsidRPr="009A7042" w:rsidRDefault="002524F6" w:rsidP="002524F6">
            <w:r w:rsidRPr="009A7042">
              <w:t>„Der freie Wille nach dem Sündenfall ist nur noch eine Bezeichnung, und wenn er tut,  was ihm möglich ist, tut er Todsünde.“</w:t>
            </w:r>
          </w:p>
        </w:tc>
      </w:tr>
      <w:tr w:rsidR="002524F6" w:rsidRPr="009A7042" w:rsidTr="002524F6">
        <w:trPr>
          <w:trHeight w:val="1265"/>
          <w:jc w:val="center"/>
        </w:trPr>
        <w:tc>
          <w:tcPr>
            <w:tcW w:w="1274" w:type="dxa"/>
            <w:vAlign w:val="center"/>
          </w:tcPr>
          <w:p w:rsidR="002524F6" w:rsidRPr="009A7042" w:rsidRDefault="002524F6" w:rsidP="002524F6">
            <w:pPr>
              <w:jc w:val="center"/>
            </w:pPr>
            <w:r>
              <w:t>4</w:t>
            </w:r>
          </w:p>
        </w:tc>
        <w:tc>
          <w:tcPr>
            <w:tcW w:w="5798" w:type="dxa"/>
            <w:vAlign w:val="center"/>
          </w:tcPr>
          <w:p w:rsidR="002524F6" w:rsidRPr="009A7042" w:rsidRDefault="002524F6" w:rsidP="002524F6">
            <w:r w:rsidRPr="009A7042">
              <w:t>„.Wollen´ ist ein Handeln, dessen Prinzip in uns selbst liegt. Beim freien Willen entscheiden wir über unser Handeln frei und unabhängig.“</w:t>
            </w:r>
          </w:p>
        </w:tc>
      </w:tr>
      <w:tr w:rsidR="002524F6" w:rsidRPr="009A7042" w:rsidTr="002524F6">
        <w:trPr>
          <w:trHeight w:val="1835"/>
          <w:jc w:val="center"/>
        </w:trPr>
        <w:tc>
          <w:tcPr>
            <w:tcW w:w="1274" w:type="dxa"/>
            <w:vAlign w:val="center"/>
          </w:tcPr>
          <w:p w:rsidR="002524F6" w:rsidRPr="009A7042" w:rsidRDefault="002524F6" w:rsidP="002524F6">
            <w:pPr>
              <w:jc w:val="center"/>
            </w:pPr>
            <w:r>
              <w:t>5</w:t>
            </w:r>
          </w:p>
        </w:tc>
        <w:tc>
          <w:tcPr>
            <w:tcW w:w="5798" w:type="dxa"/>
            <w:vAlign w:val="center"/>
          </w:tcPr>
          <w:p w:rsidR="002524F6" w:rsidRPr="009A7042" w:rsidRDefault="002524F6" w:rsidP="002524F6">
            <w:r w:rsidRPr="009A7042">
              <w:t>„Ob Bauer oder Edelmann, alle bedürfen der Gnade, der Zuwendung Gottes zu seinen Geschöpfen. Was wir schaf</w:t>
            </w:r>
            <w:r>
              <w:t xml:space="preserve">fen ist jämmerlich </w:t>
            </w:r>
            <w:r w:rsidRPr="009A7042">
              <w:t>gegenüber den Taten Gottes. Ich habe mich jahrelang bemüht, es Gott recht zu machen. Es war vergeblich.“</w:t>
            </w:r>
          </w:p>
        </w:tc>
      </w:tr>
      <w:tr w:rsidR="002524F6" w:rsidRPr="009A7042" w:rsidTr="002524F6">
        <w:trPr>
          <w:trHeight w:val="700"/>
          <w:jc w:val="center"/>
        </w:trPr>
        <w:tc>
          <w:tcPr>
            <w:tcW w:w="1274" w:type="dxa"/>
            <w:vAlign w:val="center"/>
          </w:tcPr>
          <w:p w:rsidR="002524F6" w:rsidRPr="009A7042" w:rsidRDefault="002524F6" w:rsidP="002524F6">
            <w:pPr>
              <w:jc w:val="center"/>
            </w:pPr>
            <w:r>
              <w:t>6</w:t>
            </w:r>
          </w:p>
        </w:tc>
        <w:tc>
          <w:tcPr>
            <w:tcW w:w="5798" w:type="dxa"/>
            <w:vAlign w:val="center"/>
          </w:tcPr>
          <w:p w:rsidR="002524F6" w:rsidRPr="009A7042" w:rsidRDefault="002524F6" w:rsidP="002524F6">
            <w:r w:rsidRPr="009A7042">
              <w:t>Was ist eigentlich ein Paradox?</w:t>
            </w:r>
          </w:p>
        </w:tc>
      </w:tr>
    </w:tbl>
    <w:p w:rsidR="002524F6" w:rsidRDefault="002524F6" w:rsidP="002524F6">
      <w:pPr>
        <w:pStyle w:val="berschrift1"/>
      </w:pPr>
      <w:r w:rsidRPr="00830384">
        <w:t>Aufgaben</w:t>
      </w:r>
      <w:r>
        <w:t xml:space="preserve">: </w:t>
      </w:r>
    </w:p>
    <w:p w:rsidR="002524F6" w:rsidRDefault="002524F6" w:rsidP="002524F6">
      <w:r>
        <w:t xml:space="preserve">Oben finden sich sechs verschieden lange Passagen mit Themen aus einer theologischen Debatte, die in der Vergangenheit geführt wurde. </w:t>
      </w:r>
    </w:p>
    <w:p w:rsidR="002524F6" w:rsidRDefault="002524F6" w:rsidP="002524F6">
      <w:pPr>
        <w:pStyle w:val="Listenabsatz"/>
        <w:numPr>
          <w:ilvl w:val="0"/>
          <w:numId w:val="6"/>
        </w:numPr>
      </w:pPr>
      <w:r>
        <w:t>Erörtern Sie, in welcher Zeit die Debatte geführt worden sein könnte. Begründen Sie Ihre Entscheidung!</w:t>
      </w:r>
    </w:p>
    <w:p w:rsidR="002524F6" w:rsidRDefault="002524F6" w:rsidP="002524F6">
      <w:pPr>
        <w:pStyle w:val="Listenabsatz"/>
        <w:numPr>
          <w:ilvl w:val="0"/>
          <w:numId w:val="6"/>
        </w:numPr>
      </w:pPr>
      <w:r>
        <w:t>Wählen Sie jene Passage aus, die Ihnen für unsere Gegenwart am relevantesten erscheint. Der Gegenwartsbezug kann sich dabei durch politische Situationen, Aspekte des persönlichen Lebens, religiöse oder theologische Aspekte etc. ergeben. Begründen Sie Ihre Wahl!</w:t>
      </w:r>
    </w:p>
    <w:p w:rsidR="002524F6" w:rsidRDefault="002524F6" w:rsidP="0072524B"/>
    <w:sectPr w:rsidR="002524F6" w:rsidSect="00AA6C71">
      <w:footerReference w:type="default" r:id="rId8"/>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785" w:rsidRDefault="00A17785" w:rsidP="0072524B">
      <w:pPr>
        <w:spacing w:after="0" w:line="240" w:lineRule="auto"/>
      </w:pPr>
      <w:r>
        <w:separator/>
      </w:r>
    </w:p>
  </w:endnote>
  <w:endnote w:type="continuationSeparator" w:id="0">
    <w:p w:rsidR="00A17785" w:rsidRDefault="00A17785"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2524F6">
                <w:rPr>
                  <w:noProof/>
                </w:rPr>
                <w:t>2</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785" w:rsidRDefault="00A17785" w:rsidP="0072524B">
      <w:pPr>
        <w:spacing w:after="0" w:line="240" w:lineRule="auto"/>
      </w:pPr>
      <w:r>
        <w:separator/>
      </w:r>
    </w:p>
  </w:footnote>
  <w:footnote w:type="continuationSeparator" w:id="0">
    <w:p w:rsidR="00A17785" w:rsidRDefault="00A17785" w:rsidP="00725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543D83"/>
    <w:multiLevelType w:val="hybridMultilevel"/>
    <w:tmpl w:val="397CA7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DA47D3E"/>
    <w:multiLevelType w:val="hybridMultilevel"/>
    <w:tmpl w:val="096E1EB6"/>
    <w:lvl w:ilvl="0" w:tplc="F60E3D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BF621A"/>
    <w:multiLevelType w:val="hybridMultilevel"/>
    <w:tmpl w:val="5912A1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68C2E91"/>
    <w:multiLevelType w:val="hybridMultilevel"/>
    <w:tmpl w:val="5912A1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C45113"/>
    <w:multiLevelType w:val="hybridMultilevel"/>
    <w:tmpl w:val="B76E9B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4F6"/>
    <w:rsid w:val="000A323B"/>
    <w:rsid w:val="002524F6"/>
    <w:rsid w:val="00557486"/>
    <w:rsid w:val="00580653"/>
    <w:rsid w:val="005D5A74"/>
    <w:rsid w:val="0060271B"/>
    <w:rsid w:val="00633B9C"/>
    <w:rsid w:val="00636E6B"/>
    <w:rsid w:val="0072524B"/>
    <w:rsid w:val="007D1125"/>
    <w:rsid w:val="00A17785"/>
    <w:rsid w:val="00AA6C71"/>
    <w:rsid w:val="00CF25D8"/>
    <w:rsid w:val="00D920A0"/>
    <w:rsid w:val="00F140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7E0D2F-3319-4066-8C89-2ADD6E35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 w:type="table" w:styleId="Tabellenraster">
    <w:name w:val="Table Grid"/>
    <w:basedOn w:val="NormaleTabelle"/>
    <w:uiPriority w:val="59"/>
    <w:rsid w:val="0025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ulias\%7bLocalwork%7d\_RPI\Diverses\Heidelberger%20Disputatio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7C69-EC90-4A5E-A92B-F253547A5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1</Pages>
  <Words>182</Words>
  <Characters>1149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Ulrich Löffler</dc:creator>
  <cp:lastModifiedBy>julias</cp:lastModifiedBy>
  <cp:revision>2</cp:revision>
  <dcterms:created xsi:type="dcterms:W3CDTF">2018-08-03T09:40:00Z</dcterms:created>
  <dcterms:modified xsi:type="dcterms:W3CDTF">2018-08-05T15:14:00Z</dcterms:modified>
  <cp:category>RPI - Allgemeinbildendes Gymnasium</cp:category>
</cp:coreProperties>
</file>