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53" w:rsidRPr="0072524B" w:rsidRDefault="0072524B" w:rsidP="00C16CD2">
      <w:pPr>
        <w:pStyle w:val="Titel"/>
        <w:rPr>
          <w:b w:val="0"/>
          <w:sz w:val="32"/>
          <w:szCs w:val="32"/>
        </w:rPr>
      </w:pPr>
      <w:bookmarkStart w:id="0" w:name="_GoBack"/>
      <w:bookmarkEnd w:id="0"/>
      <w:r>
        <w:t>(M</w:t>
      </w:r>
      <w:r w:rsidR="00C16CD2">
        <w:t>6</w:t>
      </w:r>
      <w:r>
        <w:t xml:space="preserve">) </w:t>
      </w:r>
      <w:r w:rsidR="00C16CD2">
        <w:t xml:space="preserve">Luthers Heidelberger Disputation im Jahre 2018 neu gelesen. </w:t>
      </w:r>
      <w:r w:rsidR="00C16CD2">
        <w:br/>
        <w:t>Freiheitsverständnis und Gehirnforschung, oder: um welche Dimension von Freiheit geht es eigentlich?</w:t>
      </w:r>
    </w:p>
    <w:p w:rsidR="00C16CD2" w:rsidRDefault="00C16CD2" w:rsidP="00C16CD2">
      <w:r>
        <w:t xml:space="preserve">In den Thesen der Heidelberger Disputation bestreitet Luther aus theologischen Gründen die Vorstellung von der Willensfreiheit des Menschen. Luther formuliert in den Thesen konkret: „nach dem Sündenfall“, also in der konkret verfassten, durch Krankheit, menschliche Verfehlung geprägten Welt, sei der Ausdruck „freier </w:t>
      </w:r>
      <w:proofErr w:type="spellStart"/>
      <w:r>
        <w:t>Willle</w:t>
      </w:r>
      <w:proofErr w:type="spellEnd"/>
      <w:r>
        <w:t>“ eine bloße Bezeichnung (ein bloßer Name [</w:t>
      </w:r>
      <w:proofErr w:type="spellStart"/>
      <w:r>
        <w:t>liberum</w:t>
      </w:r>
      <w:proofErr w:type="spellEnd"/>
      <w:r>
        <w:t xml:space="preserve"> </w:t>
      </w:r>
      <w:proofErr w:type="spellStart"/>
      <w:r>
        <w:t>arbitrium</w:t>
      </w:r>
      <w:proofErr w:type="spellEnd"/>
      <w:r>
        <w:t>… „</w:t>
      </w:r>
      <w:proofErr w:type="spellStart"/>
      <w:r>
        <w:t>res</w:t>
      </w:r>
      <w:proofErr w:type="spellEnd"/>
      <w:r>
        <w:t xml:space="preserve"> </w:t>
      </w:r>
      <w:proofErr w:type="spellStart"/>
      <w:r>
        <w:t>est</w:t>
      </w:r>
      <w:proofErr w:type="spellEnd"/>
      <w:r>
        <w:t xml:space="preserve"> solo de </w:t>
      </w:r>
      <w:proofErr w:type="spellStart"/>
      <w:r>
        <w:t>titulo</w:t>
      </w:r>
      <w:proofErr w:type="spellEnd"/>
      <w:r>
        <w:t>“ These 13]); so könne der Mensch aus freiem Willensvermögen (</w:t>
      </w:r>
      <w:proofErr w:type="spellStart"/>
      <w:r>
        <w:t>liberum</w:t>
      </w:r>
      <w:proofErr w:type="spellEnd"/>
      <w:r>
        <w:t xml:space="preserve"> </w:t>
      </w:r>
      <w:proofErr w:type="spellStart"/>
      <w:r>
        <w:t>arbitrium</w:t>
      </w:r>
      <w:proofErr w:type="spellEnd"/>
      <w:r>
        <w:t>) faktisch nichts Gutes tun (vgl. These 13). Die Annahme, dass der Mensch aus sich heraus gute Werke vollbringen könne, wird von Luther bereits in These 3-9 heftig b</w:t>
      </w:r>
      <w:r>
        <w:t>e</w:t>
      </w:r>
      <w:r>
        <w:t>stritten. Allein durch Verbindung mit Christus im Glauben könne eine Haltung entst</w:t>
      </w:r>
      <w:r>
        <w:t>e</w:t>
      </w:r>
      <w:r>
        <w:t>hen, durch die ein menschliches Werk als gut betrachtet werden könne. Diese the</w:t>
      </w:r>
      <w:r>
        <w:t>o</w:t>
      </w:r>
      <w:r>
        <w:t xml:space="preserve">logische Kritik ist aber nicht die einzige Perspektive von der aus die Vorstellung von einem freien Willen kritisiert werden kann. </w:t>
      </w:r>
      <w:r>
        <w:br/>
        <w:t>In der Gegenwart wird die Kritik am freien Willen vor allem bei neurobiologischen und medizinischen Fragestellungen virulent. Zwei Beispiele:</w:t>
      </w:r>
    </w:p>
    <w:p w:rsidR="00C16CD2" w:rsidRDefault="00C16CD2" w:rsidP="00C16CD2">
      <w:pPr>
        <w:pStyle w:val="berschrift1"/>
      </w:pPr>
      <w:r>
        <w:t xml:space="preserve">Beispiel 1: Das </w:t>
      </w:r>
      <w:proofErr w:type="spellStart"/>
      <w:r>
        <w:t>Libet</w:t>
      </w:r>
      <w:proofErr w:type="spellEnd"/>
      <w:r>
        <w:t>-Experiment und die Folgen</w:t>
      </w:r>
    </w:p>
    <w:p w:rsidR="00C16CD2" w:rsidRDefault="00C16CD2" w:rsidP="00C16CD2">
      <w:r>
        <w:t>Eine grundsätzliche Anfrage ergibt sich aus folgenden Einsichten: Neurobiologische und neuromedizinische Forschungen kamen zu dem Ergebnis, dass scheinbar freie Willensentscheidungen von Menschen schon vor der bewussten menschlichen En</w:t>
      </w:r>
      <w:r>
        <w:t>t</w:t>
      </w:r>
      <w:r>
        <w:t xml:space="preserve">scheidung im menschlichen Gehirn durch nicht steuerbare neuronale Prozesse in Gang gesetzt werden. </w:t>
      </w:r>
    </w:p>
    <w:p w:rsidR="00C16CD2" w:rsidRDefault="00C16CD2" w:rsidP="00C16CD2">
      <w:r>
        <w:t>Die Experimente</w:t>
      </w:r>
      <w:r>
        <w:rPr>
          <w:rStyle w:val="Funotenzeichen"/>
        </w:rPr>
        <w:footnoteReference w:id="1"/>
      </w:r>
      <w:r>
        <w:t xml:space="preserve">, </w:t>
      </w:r>
      <w:r w:rsidRPr="00C16CD2">
        <w:rPr>
          <w:i/>
        </w:rPr>
        <w:t xml:space="preserve">die als Beweis dafür dienen sollen, dass unser Gehirn hinter den Kulissen die Führung übernimmt, führte der amerikanische Physiologe Benjamin </w:t>
      </w:r>
      <w:proofErr w:type="spellStart"/>
      <w:r w:rsidRPr="00C16CD2">
        <w:rPr>
          <w:i/>
        </w:rPr>
        <w:t>Libet</w:t>
      </w:r>
      <w:proofErr w:type="spellEnd"/>
      <w:r w:rsidRPr="00C16CD2">
        <w:rPr>
          <w:i/>
        </w:rPr>
        <w:t xml:space="preserve"> (1916-2007) in den 1980er Jahren an der University </w:t>
      </w:r>
      <w:proofErr w:type="spellStart"/>
      <w:r w:rsidRPr="00C16CD2">
        <w:rPr>
          <w:i/>
        </w:rPr>
        <w:t>of</w:t>
      </w:r>
      <w:proofErr w:type="spellEnd"/>
      <w:r w:rsidRPr="00C16CD2">
        <w:rPr>
          <w:i/>
        </w:rPr>
        <w:t xml:space="preserve"> California in San Francisco durch. Er bat Versuchspersonen, auf deren Kopf er Elektroden angebracht hatte, zu einem willkürlich gewählten Zeitpunkt eine Hand zu bewegen. Die von den Elektroden aufgezeichneten Aktivitätsschwankungen zeigten ein so genanntes Bereitschaftsp</w:t>
      </w:r>
      <w:r w:rsidRPr="00C16CD2">
        <w:rPr>
          <w:i/>
        </w:rPr>
        <w:t>o</w:t>
      </w:r>
      <w:r w:rsidRPr="00C16CD2">
        <w:rPr>
          <w:i/>
        </w:rPr>
        <w:t xml:space="preserve">tenzial an, das schon rund eine halbe Sekunde vor der willkürlichen Handbewegung </w:t>
      </w:r>
      <w:r w:rsidRPr="00C16CD2">
        <w:rPr>
          <w:i/>
        </w:rPr>
        <w:lastRenderedPageBreak/>
        <w:t>auftrat. Doch den Probanden wurde ihre Absicht, die Hand zu rühren, laut einer para</w:t>
      </w:r>
      <w:r w:rsidRPr="00C16CD2">
        <w:rPr>
          <w:i/>
        </w:rPr>
        <w:t>l</w:t>
      </w:r>
      <w:r w:rsidRPr="00C16CD2">
        <w:rPr>
          <w:i/>
        </w:rPr>
        <w:t>lel laufenden Zeitmessung erst eine Viertelsekunde vor der Ausführung bewusst. Da</w:t>
      </w:r>
      <w:r w:rsidRPr="00C16CD2">
        <w:rPr>
          <w:i/>
        </w:rPr>
        <w:t>r</w:t>
      </w:r>
      <w:r w:rsidRPr="00C16CD2">
        <w:rPr>
          <w:i/>
        </w:rPr>
        <w:t xml:space="preserve">aus schloss </w:t>
      </w:r>
      <w:proofErr w:type="spellStart"/>
      <w:r w:rsidRPr="00C16CD2">
        <w:rPr>
          <w:i/>
        </w:rPr>
        <w:t>Libet</w:t>
      </w:r>
      <w:proofErr w:type="spellEnd"/>
      <w:r w:rsidRPr="00C16CD2">
        <w:rPr>
          <w:i/>
        </w:rPr>
        <w:t>, dass das Gehirn den Entschluss zur Handbewegung bereits gefasst hatte, bevor dieser ins Bewusstsein trat. Das schien zu besagen: Unbewusste Hirnpr</w:t>
      </w:r>
      <w:r w:rsidRPr="00C16CD2">
        <w:rPr>
          <w:i/>
        </w:rPr>
        <w:t>o</w:t>
      </w:r>
      <w:r w:rsidRPr="00C16CD2">
        <w:rPr>
          <w:i/>
        </w:rPr>
        <w:t>zesse trafen die Entscheidung.</w:t>
      </w:r>
      <w:r>
        <w:t xml:space="preserve"> </w:t>
      </w:r>
    </w:p>
    <w:p w:rsidR="00C16CD2" w:rsidRDefault="00C16CD2" w:rsidP="00C16CD2">
      <w:r>
        <w:t>Nach neueren Untersuchungen mittels funktioneller Magnetresonanztomografie (</w:t>
      </w:r>
      <w:proofErr w:type="spellStart"/>
      <w:r>
        <w:t>fMRT</w:t>
      </w:r>
      <w:proofErr w:type="spellEnd"/>
      <w:r>
        <w:t xml:space="preserve">) beginnt die unbewusste Vorbereitung von Entscheidungen sogar noch früher. 2013 legte der Neurologe John-Dylan Haynes vom Bernstein Center </w:t>
      </w:r>
      <w:proofErr w:type="spellStart"/>
      <w:r>
        <w:t>for</w:t>
      </w:r>
      <w:proofErr w:type="spellEnd"/>
      <w:r>
        <w:t xml:space="preserve"> </w:t>
      </w:r>
      <w:proofErr w:type="spellStart"/>
      <w:r>
        <w:t>Computati</w:t>
      </w:r>
      <w:r>
        <w:t>o</w:t>
      </w:r>
      <w:r>
        <w:t>nal</w:t>
      </w:r>
      <w:proofErr w:type="spellEnd"/>
      <w:r>
        <w:t xml:space="preserve"> </w:t>
      </w:r>
      <w:proofErr w:type="spellStart"/>
      <w:r>
        <w:t>Neuroscience</w:t>
      </w:r>
      <w:proofErr w:type="spellEnd"/>
      <w:r>
        <w:t xml:space="preserve"> in Berlin Versuchspersonen in einen </w:t>
      </w:r>
      <w:proofErr w:type="spellStart"/>
      <w:r>
        <w:t>fMRT</w:t>
      </w:r>
      <w:proofErr w:type="spellEnd"/>
      <w:r>
        <w:t>-Scanner und ließ ihnen die freie Wahl, zwei Zahlen entweder zu addieren oder zu subtrahieren. Aus den ne</w:t>
      </w:r>
      <w:r>
        <w:t>u</w:t>
      </w:r>
      <w:r>
        <w:t>ralen Aktivitätsmustern ließ sich schon ganze vier Sekunden, bevor den Probanden ihre Entscheidung bewusst wurde, vorhersagen, welchen Rechenweg sie einschlagen würden. Solche Experimente haben zu der pauschalen Behauptung geführt, der freie Wille sei erledigt. "Unsere Entscheidungen sind, lange bevor unser Bewusstsein ins Spiel kommt, unbewusst vorherbestimmt", kommentierte Haynes 2008 in der Zei</w:t>
      </w:r>
      <w:r>
        <w:t>t</w:t>
      </w:r>
      <w:r>
        <w:t xml:space="preserve">schrift "New Scientist" und fügte hinzu: </w:t>
      </w:r>
      <w:r w:rsidRPr="00C16CD2">
        <w:rPr>
          <w:b/>
        </w:rPr>
        <w:t>"Anscheinend trifft das Gehirn die Entsche</w:t>
      </w:r>
      <w:r w:rsidRPr="00C16CD2">
        <w:rPr>
          <w:b/>
        </w:rPr>
        <w:t>i</w:t>
      </w:r>
      <w:r w:rsidRPr="00C16CD2">
        <w:rPr>
          <w:b/>
        </w:rPr>
        <w:t>dung vor der Person."</w:t>
      </w:r>
      <w:r>
        <w:t xml:space="preserve"> Für den Evolutionsbiologen Jerry Coyne von der University </w:t>
      </w:r>
      <w:proofErr w:type="spellStart"/>
      <w:r>
        <w:t>of</w:t>
      </w:r>
      <w:proofErr w:type="spellEnd"/>
      <w:r>
        <w:t xml:space="preserve"> Chicago ist eine Entscheidung niemals Folge einer bewussten Wahl; </w:t>
      </w:r>
      <w:r w:rsidRPr="00C16CD2">
        <w:rPr>
          <w:b/>
        </w:rPr>
        <w:t>es gebe weder Entscheidungsfreiheit noch freien Willen.</w:t>
      </w:r>
    </w:p>
    <w:p w:rsidR="00C16CD2" w:rsidRDefault="00C16CD2" w:rsidP="00C16CD2">
      <w:pPr>
        <w:pStyle w:val="berschrift1"/>
      </w:pPr>
      <w:r>
        <w:t>Beispiel 2: Die sog. „Tiefe Hirnstimulation“ als Therapie für Patie</w:t>
      </w:r>
      <w:r>
        <w:t>n</w:t>
      </w:r>
      <w:r>
        <w:t xml:space="preserve">ten mit </w:t>
      </w:r>
      <w:proofErr w:type="spellStart"/>
      <w:r>
        <w:t>Tourette</w:t>
      </w:r>
      <w:proofErr w:type="spellEnd"/>
      <w:r>
        <w:t>-Syndrom</w:t>
      </w:r>
    </w:p>
    <w:p w:rsidR="00C16CD2" w:rsidRDefault="00C16CD2" w:rsidP="00C16CD2">
      <w:r>
        <w:t>Seit Ende der 1980er-Jahre wird die Technik der „Tiefen Hirnstimulation“ zur Behan</w:t>
      </w:r>
      <w:r>
        <w:t>d</w:t>
      </w:r>
      <w:r>
        <w:t>lung von neurologischen Erkrankungen, insbesondere der Parkinson-Erkrankung, e</w:t>
      </w:r>
      <w:r>
        <w:t>r</w:t>
      </w:r>
      <w:r>
        <w:t>folgreich eingesetzt. Bei dieser Methode werden dem Patienten Elektroden in tief gelegene Strukturen des Gehirns implantiert. Diese Elektroden geben dann dauerhaft hochfrequente, kurze elektrische Impulse ab, um so gestörte Funktionskreise inne</w:t>
      </w:r>
      <w:r>
        <w:t>r</w:t>
      </w:r>
      <w:r>
        <w:t>halb des Nervensystems positiv beeinflussen zu können. Weltweit wurden bisher ca. 50.000 Patienten mit einem solchen „Hirnschrittmacher“ behandelt.</w:t>
      </w:r>
    </w:p>
    <w:p w:rsidR="00C16CD2" w:rsidRDefault="00C16CD2" w:rsidP="00C16CD2">
      <w:r>
        <w:t xml:space="preserve">In den letzten Jahren mehren sich Hinweise, dass die Tiefe Hirnstimulation auch für Patienten mit schwerem </w:t>
      </w:r>
      <w:proofErr w:type="spellStart"/>
      <w:r>
        <w:t>Tourette</w:t>
      </w:r>
      <w:proofErr w:type="spellEnd"/>
      <w:r>
        <w:t xml:space="preserve">-Syndrom, bei denen andere Therapien erfolglos blieben, eine sinnvolle und hochwirksame Alternative darstellt. Vor allem die </w:t>
      </w:r>
      <w:r w:rsidRPr="00C16CD2">
        <w:rPr>
          <w:b/>
        </w:rPr>
        <w:t>Tic-Symptomatik</w:t>
      </w:r>
      <w:r>
        <w:t xml:space="preserve"> wird durch diese Behandlung deutlich verringert.</w:t>
      </w:r>
    </w:p>
    <w:p w:rsidR="00C16CD2" w:rsidRDefault="00C16CD2" w:rsidP="00C16CD2">
      <w:r>
        <w:t xml:space="preserve">Der Leidensdruck kann so gemindert werden – die Lebensqualität steigt. </w:t>
      </w:r>
    </w:p>
    <w:p w:rsidR="00C16CD2" w:rsidRDefault="00C16CD2" w:rsidP="00C16CD2">
      <w:r w:rsidRPr="00C16CD2">
        <w:rPr>
          <w:b/>
        </w:rPr>
        <w:t xml:space="preserve">Die </w:t>
      </w:r>
      <w:r>
        <w:rPr>
          <w:b/>
        </w:rPr>
        <w:t>sog.</w:t>
      </w:r>
      <w:r w:rsidRPr="00C16CD2">
        <w:rPr>
          <w:b/>
        </w:rPr>
        <w:t xml:space="preserve"> Tics können folgendermaßen beschrieben werden</w:t>
      </w:r>
      <w:r>
        <w:t xml:space="preserve">: Als Tics bezeichnet man Bewegungen oder Laute, die spontan auftreten und nicht vollständig kontrolliert </w:t>
      </w:r>
      <w:r>
        <w:lastRenderedPageBreak/>
        <w:t>werden können. Bei den motorischen Tics reicht die Spanne von einfachen Bewegu</w:t>
      </w:r>
      <w:r>
        <w:t>n</w:t>
      </w:r>
      <w:r>
        <w:t>gen wie Augenblinzeln oder Kopfzucken bis hin zu komplexen Tics, die Gesten ähneln oder zu unbeabsichtigten Selbstverletzungen führen können. Bei den vokalen Tics unterscheidet man einfache Geräusche wie simple Laute, Räuspern, Schniefen oder Schlucken von komplexen Tics, die von Schreien oder auch Fluchen geprägt sein kö</w:t>
      </w:r>
      <w:r>
        <w:t>n</w:t>
      </w:r>
      <w:r>
        <w:t>nen.</w:t>
      </w:r>
    </w:p>
    <w:p w:rsidR="00C16CD2" w:rsidRDefault="00C16CD2" w:rsidP="00C16CD2">
      <w:r>
        <w:t>Wenn motorische und vokale Tics über einen Zeitraum von mehr als zwei Jahren n</w:t>
      </w:r>
      <w:r>
        <w:t>a</w:t>
      </w:r>
      <w:r>
        <w:t xml:space="preserve">hezu durchgehend auftreten, so spricht man von einer </w:t>
      </w:r>
      <w:r w:rsidRPr="00C16CD2">
        <w:rPr>
          <w:b/>
        </w:rPr>
        <w:t>chronischen motorischen und vokalen Tic-Störung</w:t>
      </w:r>
      <w:r>
        <w:t xml:space="preserve"> - dem </w:t>
      </w:r>
      <w:proofErr w:type="spellStart"/>
      <w:r w:rsidRPr="00C16CD2">
        <w:rPr>
          <w:b/>
        </w:rPr>
        <w:t>Tourette</w:t>
      </w:r>
      <w:proofErr w:type="spellEnd"/>
      <w:r w:rsidRPr="00C16CD2">
        <w:rPr>
          <w:b/>
        </w:rPr>
        <w:t>-Syndrom</w:t>
      </w:r>
      <w:r>
        <w:t>. Tics treten meist in der Kindheit ers</w:t>
      </w:r>
      <w:r>
        <w:t>t</w:t>
      </w:r>
      <w:r>
        <w:t>malig auf und zeigen häufig über die Jahre einen wechselhaften Verlauf, bei dem sich Phasen mit ausgeprägten Tics und eher mildere oder komplett Tic-freie Phasen a</w:t>
      </w:r>
      <w:r>
        <w:t>b</w:t>
      </w:r>
      <w:r>
        <w:t xml:space="preserve">wechseln können. Ärzte verschiedener Fachrichtungen der Uniklinik Köln befassen sich seit vielen Jahren mit der Tiefen Hirnstimulation als Behandlungsmethode für Patienten mit schwerem </w:t>
      </w:r>
      <w:proofErr w:type="spellStart"/>
      <w:r>
        <w:t>Tourette</w:t>
      </w:r>
      <w:proofErr w:type="spellEnd"/>
      <w:r>
        <w:t>-Syndrom</w:t>
      </w:r>
      <w:r>
        <w:rPr>
          <w:rStyle w:val="Funotenzeichen"/>
        </w:rPr>
        <w:footnoteReference w:id="2"/>
      </w:r>
      <w:r>
        <w:t xml:space="preserve">. </w:t>
      </w:r>
    </w:p>
    <w:p w:rsidR="00C16CD2" w:rsidRDefault="00C16CD2" w:rsidP="00C16CD2">
      <w:r>
        <w:t>Bei den behandelnden Ärzten treten durch den Einsatz der Tiefen Hirnstimulation immer wieder ethische Fragestellungen auf, die auch in einem begleitenden Fo</w:t>
      </w:r>
      <w:r>
        <w:t>r</w:t>
      </w:r>
      <w:r>
        <w:t>schungsprogramm bearbeitet werden. Dr. Juan Baldermann, ein Mitglied des Fo</w:t>
      </w:r>
      <w:r>
        <w:t>r</w:t>
      </w:r>
      <w:r>
        <w:t>schungsteams an der Universitätsklinik Köln, schildert Fragestellungen und Proble</w:t>
      </w:r>
      <w:r>
        <w:t>m</w:t>
      </w:r>
      <w:r>
        <w:t>lagen:</w:t>
      </w:r>
    </w:p>
    <w:p w:rsidR="00C16CD2" w:rsidRPr="00C16CD2" w:rsidRDefault="00C16CD2" w:rsidP="00C16CD2">
      <w:pPr>
        <w:rPr>
          <w:i/>
        </w:rPr>
      </w:pPr>
      <w:r w:rsidRPr="00C16CD2">
        <w:rPr>
          <w:i/>
        </w:rPr>
        <w:t xml:space="preserve">„Ein zentrales Thema war die </w:t>
      </w:r>
      <w:r w:rsidRPr="00C16CD2">
        <w:rPr>
          <w:b/>
          <w:i/>
        </w:rPr>
        <w:t>Frage nach Identität/Persönlichkeit</w:t>
      </w:r>
      <w:r w:rsidRPr="00C16CD2">
        <w:rPr>
          <w:i/>
        </w:rPr>
        <w:t>: [Wir stellten den Patienten zum Beispiel folgende Fragen]: „Nehmen Sie ihren Charakter durch die St</w:t>
      </w:r>
      <w:r w:rsidRPr="00C16CD2">
        <w:rPr>
          <w:i/>
        </w:rPr>
        <w:t>i</w:t>
      </w:r>
      <w:r w:rsidRPr="00C16CD2">
        <w:rPr>
          <w:i/>
        </w:rPr>
        <w:t>mulation verändert wahr? Gibt es Unterschiede zwischen an- oder ausgeschalteter Stimulation? Gehört die Erkrankung zu Ihrer Identität? Was entspricht eher Ihnen selbst: angeschaltet mit weniger Symptomen oder ausgeschaltet mit mehr Sympt</w:t>
      </w:r>
      <w:r w:rsidRPr="00C16CD2">
        <w:rPr>
          <w:i/>
        </w:rPr>
        <w:t>o</w:t>
      </w:r>
      <w:r w:rsidRPr="00C16CD2">
        <w:rPr>
          <w:i/>
        </w:rPr>
        <w:t>men? Macht es für Sie einen Unterschied, dass die Elektrode in Ihrem Gehirn sitzt, und nicht in einem anderen Körperteil z.B. im Bein? Fühlen sie sich durch die Stimulation fremdgesteuert/kontrolliert oder sind sie hierdurch mehr sie selbst durch Reduktion von Symptomen?“</w:t>
      </w:r>
    </w:p>
    <w:p w:rsidR="00C16CD2" w:rsidRPr="00C16CD2" w:rsidRDefault="00C16CD2" w:rsidP="00C16CD2">
      <w:pPr>
        <w:rPr>
          <w:i/>
        </w:rPr>
      </w:pPr>
      <w:r w:rsidRPr="00C16CD2">
        <w:rPr>
          <w:i/>
        </w:rPr>
        <w:t xml:space="preserve">Ein weiteres Thema war das Thema </w:t>
      </w:r>
      <w:r w:rsidRPr="00C16CD2">
        <w:rPr>
          <w:b/>
          <w:i/>
        </w:rPr>
        <w:t>Kontrolle über die Stimulation</w:t>
      </w:r>
      <w:r w:rsidRPr="00C16CD2">
        <w:rPr>
          <w:i/>
        </w:rPr>
        <w:t>. Dabei gibt es grundsätzlich die Möglichkeit, die Stimulation vom Arzt einstellen zu lassen. Darüber hinaus gibt es auch die Möglichkeit, dass der Patient z.B. zuhause alleine die Stimul</w:t>
      </w:r>
      <w:r w:rsidRPr="00C16CD2">
        <w:rPr>
          <w:i/>
        </w:rPr>
        <w:t>a</w:t>
      </w:r>
      <w:r w:rsidRPr="00C16CD2">
        <w:rPr>
          <w:i/>
        </w:rPr>
        <w:t>tion verändern kann. Die Frage hier war, ob jeder Patient dieselben Möglichkeiten der Einstellung haben sollte? Welche Faktoren limitieren, dass ein Patient selbst die Ko</w:t>
      </w:r>
      <w:r w:rsidRPr="00C16CD2">
        <w:rPr>
          <w:i/>
        </w:rPr>
        <w:t>n</w:t>
      </w:r>
      <w:r w:rsidRPr="00C16CD2">
        <w:rPr>
          <w:i/>
        </w:rPr>
        <w:t>trolle über die Stimulation bekommt? Darf der Arzt die Stimulation verändern ohne Wissen des Patienten (z.B. in [sogenannten] doppelt-</w:t>
      </w:r>
      <w:proofErr w:type="spellStart"/>
      <w:r w:rsidRPr="00C16CD2">
        <w:rPr>
          <w:i/>
        </w:rPr>
        <w:t>verblindeten</w:t>
      </w:r>
      <w:proofErr w:type="spellEnd"/>
      <w:r w:rsidRPr="00C16CD2">
        <w:rPr>
          <w:i/>
        </w:rPr>
        <w:t xml:space="preserve"> Studien)? </w:t>
      </w:r>
    </w:p>
    <w:p w:rsidR="00C16CD2" w:rsidRPr="00C16CD2" w:rsidRDefault="00C16CD2" w:rsidP="00C16CD2">
      <w:pPr>
        <w:rPr>
          <w:i/>
        </w:rPr>
      </w:pPr>
      <w:r w:rsidRPr="00C16CD2">
        <w:rPr>
          <w:i/>
        </w:rPr>
        <w:lastRenderedPageBreak/>
        <w:t>Noch ein Thema ist das sogenannte "</w:t>
      </w:r>
      <w:proofErr w:type="spellStart"/>
      <w:r w:rsidRPr="00C16CD2">
        <w:rPr>
          <w:b/>
          <w:i/>
        </w:rPr>
        <w:t>Neuroenhancement</w:t>
      </w:r>
      <w:proofErr w:type="spellEnd"/>
      <w:r w:rsidRPr="00C16CD2">
        <w:rPr>
          <w:i/>
        </w:rPr>
        <w:t>", was im Grunde bedeutet, ein gesundes Gehirn durch Intervention ´noch besser zu machen´, auch ´Hirndoping´ genannt. So gibt es private Firmen, die unsere Techniken auf diese Art anwenden wo</w:t>
      </w:r>
      <w:r w:rsidRPr="00C16CD2">
        <w:rPr>
          <w:i/>
        </w:rPr>
        <w:t>l</w:t>
      </w:r>
      <w:r w:rsidRPr="00C16CD2">
        <w:rPr>
          <w:i/>
        </w:rPr>
        <w:t>len (z.B. besseres Gedächtnis erzeugen). Das geht natürlich ganz klar gegen jedes m</w:t>
      </w:r>
      <w:r w:rsidRPr="00C16CD2">
        <w:rPr>
          <w:i/>
        </w:rPr>
        <w:t>e</w:t>
      </w:r>
      <w:r w:rsidRPr="00C16CD2">
        <w:rPr>
          <w:i/>
        </w:rPr>
        <w:t>dizinisch-ethisches Verständnis, aber gleichzeitig ermöglichen wir durch unsere Fo</w:t>
      </w:r>
      <w:r w:rsidRPr="00C16CD2">
        <w:rPr>
          <w:i/>
        </w:rPr>
        <w:t>r</w:t>
      </w:r>
      <w:r w:rsidRPr="00C16CD2">
        <w:rPr>
          <w:i/>
        </w:rPr>
        <w:t>schung auch solchen Strömungen einen Fortschritt - auch das müssen wir hinterfr</w:t>
      </w:r>
      <w:r w:rsidRPr="00C16CD2">
        <w:rPr>
          <w:i/>
        </w:rPr>
        <w:t>a</w:t>
      </w:r>
      <w:r w:rsidRPr="00C16CD2">
        <w:rPr>
          <w:i/>
        </w:rPr>
        <w:t>gen.</w:t>
      </w:r>
    </w:p>
    <w:p w:rsidR="00C16CD2" w:rsidRDefault="00C16CD2" w:rsidP="00C16CD2">
      <w:r w:rsidRPr="00C16CD2">
        <w:rPr>
          <w:i/>
        </w:rPr>
        <w:t>Grundsätzlich handelt es sich bei den behandelten Patienten um schwerstkranke Pat</w:t>
      </w:r>
      <w:r w:rsidRPr="00C16CD2">
        <w:rPr>
          <w:i/>
        </w:rPr>
        <w:t>i</w:t>
      </w:r>
      <w:r w:rsidRPr="00C16CD2">
        <w:rPr>
          <w:i/>
        </w:rPr>
        <w:t xml:space="preserve">enten, bei denen keine sonstige Therapie geholfen hat. Aber auch hier müssen wir </w:t>
      </w:r>
      <w:r w:rsidRPr="00266E46">
        <w:rPr>
          <w:b/>
          <w:i/>
        </w:rPr>
        <w:t>in jedem Einzelfall das Risiko-Nutzen-Verhältnis bewerten</w:t>
      </w:r>
      <w:r w:rsidRPr="00C16CD2">
        <w:rPr>
          <w:i/>
        </w:rPr>
        <w:t>. So fordern viele Patienten die Behandlung ein (da ihnen sonst nichts hilft), aber wir halten das Risiko für nicht gerechtfertigt, weil z.B. die Wahrscheinlichkeit auf Besserung gering ist. Dabei fragen wir uns oft, ob wir die Behandlung anbieten "müssen", oder ob wir diese auch voren</w:t>
      </w:r>
      <w:r w:rsidRPr="00C16CD2">
        <w:rPr>
          <w:i/>
        </w:rPr>
        <w:t>t</w:t>
      </w:r>
      <w:r w:rsidRPr="00C16CD2">
        <w:rPr>
          <w:i/>
        </w:rPr>
        <w:t xml:space="preserve">halten dürfen, wenn wir glauben, die Chancen sind zu gering.“ </w:t>
      </w:r>
    </w:p>
    <w:p w:rsidR="00C16CD2" w:rsidRDefault="00C16CD2" w:rsidP="00266E46">
      <w:pPr>
        <w:pStyle w:val="berschrift1"/>
      </w:pPr>
      <w:r>
        <w:t>Arbeitsaufgaben</w:t>
      </w:r>
    </w:p>
    <w:p w:rsidR="00C16CD2" w:rsidRDefault="00C16CD2" w:rsidP="00C16CD2">
      <w:r>
        <w:t>In einem Redaktionsteam für ein Schulbuch wird darüber diskutiert, ob und wie man Luthers Thesen zur Unfreiheit des menschlichen Willens mit Fragen und Probleml</w:t>
      </w:r>
      <w:r>
        <w:t>a</w:t>
      </w:r>
      <w:r>
        <w:t xml:space="preserve">gen der Gegenwart in Kontakt bringen kann. </w:t>
      </w:r>
    </w:p>
    <w:p w:rsidR="00C16CD2" w:rsidRDefault="00C16CD2" w:rsidP="00266E46">
      <w:pPr>
        <w:pStyle w:val="Listenabsatz"/>
        <w:numPr>
          <w:ilvl w:val="0"/>
          <w:numId w:val="2"/>
        </w:numPr>
      </w:pPr>
      <w:r>
        <w:t xml:space="preserve">Untersuchen Sie, welche der beiden Beispiele gut an die Diskussionslage zur Unfreiheit des Willens in Luthers Heidelberger Disputation heranreicht. </w:t>
      </w:r>
    </w:p>
    <w:p w:rsidR="00CF25D8" w:rsidRDefault="00C16CD2" w:rsidP="00266E46">
      <w:pPr>
        <w:pStyle w:val="Listenabsatz"/>
        <w:numPr>
          <w:ilvl w:val="0"/>
          <w:numId w:val="2"/>
        </w:numPr>
      </w:pPr>
      <w:r>
        <w:t>Entscheiden Sie, ob Sie beide Fallbeispiele, nur eines der Beispiele oder keines der beiden Beispiele auswählen würden.</w:t>
      </w:r>
    </w:p>
    <w:sectPr w:rsidR="00CF25D8"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03" w:rsidRDefault="001A7003" w:rsidP="0072524B">
      <w:pPr>
        <w:spacing w:after="0" w:line="240" w:lineRule="auto"/>
      </w:pPr>
      <w:r>
        <w:separator/>
      </w:r>
    </w:p>
  </w:endnote>
  <w:endnote w:type="continuationSeparator" w:id="0">
    <w:p w:rsidR="001A7003" w:rsidRDefault="001A7003"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8C008D">
                <w:rPr>
                  <w:noProof/>
                </w:rPr>
                <w:t>4</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03" w:rsidRDefault="001A7003" w:rsidP="0072524B">
      <w:pPr>
        <w:spacing w:after="0" w:line="240" w:lineRule="auto"/>
      </w:pPr>
      <w:r>
        <w:separator/>
      </w:r>
    </w:p>
  </w:footnote>
  <w:footnote w:type="continuationSeparator" w:id="0">
    <w:p w:rsidR="001A7003" w:rsidRDefault="001A7003" w:rsidP="0072524B">
      <w:pPr>
        <w:spacing w:after="0" w:line="240" w:lineRule="auto"/>
      </w:pPr>
      <w:r>
        <w:continuationSeparator/>
      </w:r>
    </w:p>
  </w:footnote>
  <w:footnote w:id="1">
    <w:p w:rsidR="00C16CD2" w:rsidRDefault="00C16CD2">
      <w:pPr>
        <w:pStyle w:val="Funotentext"/>
      </w:pPr>
      <w:r>
        <w:rPr>
          <w:rStyle w:val="Funotenzeichen"/>
        </w:rPr>
        <w:footnoteRef/>
      </w:r>
      <w:r>
        <w:t xml:space="preserve"> Der nun folgende, kursiv gedruckte Abschnitt ist entnommen aus: </w:t>
      </w:r>
      <w:r w:rsidRPr="00240F89">
        <w:t>https://www.spektrum.de/news/wie-frei-ist-der-mensch/1361221</w:t>
      </w:r>
      <w:r>
        <w:t>.</w:t>
      </w:r>
    </w:p>
  </w:footnote>
  <w:footnote w:id="2">
    <w:p w:rsidR="00C16CD2" w:rsidRDefault="00C16CD2">
      <w:pPr>
        <w:pStyle w:val="Funotentext"/>
      </w:pPr>
      <w:r>
        <w:rPr>
          <w:rStyle w:val="Funotenzeichen"/>
        </w:rPr>
        <w:footnoteRef/>
      </w:r>
      <w:r>
        <w:t xml:space="preserve"> </w:t>
      </w:r>
      <w:r w:rsidRPr="00CE10FF">
        <w:t xml:space="preserve">Vgl. Pressmitteilung der Universität Köln: </w:t>
      </w:r>
      <w:r>
        <w:t>„</w:t>
      </w:r>
      <w:r w:rsidRPr="00CE10FF">
        <w:rPr>
          <w:rFonts w:cs="Arial"/>
          <w:szCs w:val="22"/>
        </w:rPr>
        <w:t xml:space="preserve">Studie zur Tiefen Hirnstimulation bei </w:t>
      </w:r>
      <w:proofErr w:type="spellStart"/>
      <w:r w:rsidRPr="00CE10FF">
        <w:rPr>
          <w:rFonts w:cs="Arial"/>
          <w:szCs w:val="22"/>
        </w:rPr>
        <w:t>Tourette</w:t>
      </w:r>
      <w:proofErr w:type="spellEnd"/>
      <w:r w:rsidRPr="00CE10FF">
        <w:rPr>
          <w:rFonts w:cs="Arial"/>
          <w:szCs w:val="22"/>
        </w:rPr>
        <w:t>-Syndrom an der Uniklinik Köln</w:t>
      </w:r>
      <w:r>
        <w:rPr>
          <w:rFonts w:cs="Arial"/>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79C0CF2"/>
    <w:multiLevelType w:val="hybridMultilevel"/>
    <w:tmpl w:val="AEACB1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D2"/>
    <w:rsid w:val="000A323B"/>
    <w:rsid w:val="001A7003"/>
    <w:rsid w:val="00266E46"/>
    <w:rsid w:val="00557486"/>
    <w:rsid w:val="00580653"/>
    <w:rsid w:val="005D5A74"/>
    <w:rsid w:val="0060271B"/>
    <w:rsid w:val="00633B9C"/>
    <w:rsid w:val="00636E6B"/>
    <w:rsid w:val="0072524B"/>
    <w:rsid w:val="007D1125"/>
    <w:rsid w:val="008C008D"/>
    <w:rsid w:val="00AA6C71"/>
    <w:rsid w:val="00C16CD2"/>
    <w:rsid w:val="00CF25D8"/>
    <w:rsid w:val="00D92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CD0F-97A9-4BA3-9B2E-5845A5D9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4</Pages>
  <Words>1233</Words>
  <Characters>7771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2</cp:revision>
  <cp:lastPrinted>2018-08-06T06:28:00Z</cp:lastPrinted>
  <dcterms:created xsi:type="dcterms:W3CDTF">2018-08-04T08:46:00Z</dcterms:created>
  <dcterms:modified xsi:type="dcterms:W3CDTF">2018-08-06T06:28:00Z</dcterms:modified>
  <cp:category>RPI - Allgemeinbildendes Gymnasium</cp:category>
</cp:coreProperties>
</file>