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4B" w:rsidRDefault="0072524B" w:rsidP="0072524B">
      <w:pPr>
        <w:pStyle w:val="Titel"/>
      </w:pPr>
      <w:r>
        <w:t>(M</w:t>
      </w:r>
      <w:r w:rsidR="000A323B">
        <w:t xml:space="preserve"> </w:t>
      </w:r>
      <w:r w:rsidR="00CB09E8">
        <w:t>8</w:t>
      </w:r>
      <w:r>
        <w:t xml:space="preserve">) </w:t>
      </w:r>
      <w:r w:rsidR="00CB09E8" w:rsidRPr="002C4E60">
        <w:rPr>
          <w:sz w:val="56"/>
          <w:szCs w:val="56"/>
        </w:rPr>
        <w:t xml:space="preserve">Luthers Heidelberger Disputation - im Jahre 2018 neu gelesen. </w:t>
      </w:r>
      <w:r w:rsidR="00CB09E8">
        <w:rPr>
          <w:sz w:val="56"/>
          <w:szCs w:val="56"/>
        </w:rPr>
        <w:br/>
      </w:r>
      <w:r w:rsidR="00CB09E8" w:rsidRPr="002C4E60">
        <w:rPr>
          <w:sz w:val="56"/>
          <w:szCs w:val="56"/>
        </w:rPr>
        <w:t>Aspekte aus einem Vortrag des Ge</w:t>
      </w:r>
      <w:r w:rsidR="00CB09E8" w:rsidRPr="002C4E60">
        <w:rPr>
          <w:sz w:val="56"/>
          <w:szCs w:val="56"/>
        </w:rPr>
        <w:t>r</w:t>
      </w:r>
      <w:r w:rsidR="00CB09E8" w:rsidRPr="002C4E60">
        <w:rPr>
          <w:sz w:val="56"/>
          <w:szCs w:val="56"/>
        </w:rPr>
        <w:t>manisten und Literaturwissenschaf</w:t>
      </w:r>
      <w:r w:rsidR="00CB09E8" w:rsidRPr="002C4E60">
        <w:rPr>
          <w:sz w:val="56"/>
          <w:szCs w:val="56"/>
        </w:rPr>
        <w:t>t</w:t>
      </w:r>
      <w:r w:rsidR="00CB09E8" w:rsidRPr="002C4E60">
        <w:rPr>
          <w:sz w:val="56"/>
          <w:szCs w:val="56"/>
        </w:rPr>
        <w:t xml:space="preserve">lers Jochen </w:t>
      </w:r>
      <w:proofErr w:type="spellStart"/>
      <w:r w:rsidR="00CB09E8" w:rsidRPr="002C4E60">
        <w:rPr>
          <w:sz w:val="56"/>
          <w:szCs w:val="56"/>
        </w:rPr>
        <w:t>Hörisch</w:t>
      </w:r>
      <w:proofErr w:type="spellEnd"/>
      <w:r w:rsidR="00CB09E8" w:rsidRPr="002C4E60">
        <w:rPr>
          <w:sz w:val="56"/>
          <w:szCs w:val="56"/>
        </w:rPr>
        <w:t xml:space="preserve"> am 26.</w:t>
      </w:r>
      <w:r w:rsidR="00CB09E8">
        <w:rPr>
          <w:sz w:val="56"/>
          <w:szCs w:val="56"/>
        </w:rPr>
        <w:t>0</w:t>
      </w:r>
      <w:r w:rsidR="00CB09E8" w:rsidRPr="002C4E60">
        <w:rPr>
          <w:sz w:val="56"/>
          <w:szCs w:val="56"/>
        </w:rPr>
        <w:t>4.2018</w:t>
      </w:r>
    </w:p>
    <w:p w:rsidR="00580653" w:rsidRPr="0072524B" w:rsidRDefault="00580653" w:rsidP="0072524B">
      <w:pPr>
        <w:spacing w:after="0"/>
        <w:jc w:val="center"/>
        <w:rPr>
          <w:b/>
          <w:sz w:val="32"/>
          <w:szCs w:val="32"/>
        </w:rPr>
      </w:pPr>
    </w:p>
    <w:p w:rsidR="00CB09E8" w:rsidRPr="00CB09E8" w:rsidRDefault="00CB09E8" w:rsidP="00CB09E8">
      <w:pPr>
        <w:rPr>
          <w:i/>
        </w:rPr>
      </w:pPr>
      <w:r w:rsidRPr="00CB09E8">
        <w:rPr>
          <w:i/>
        </w:rPr>
        <w:t xml:space="preserve">Zum Jahrestag der Heidelberger Disputation am 26.4.2018 hielt der Mannheimer Germanistikprofessor und Medientheoretiker Jochen </w:t>
      </w:r>
      <w:proofErr w:type="spellStart"/>
      <w:r w:rsidRPr="00CB09E8">
        <w:rPr>
          <w:i/>
        </w:rPr>
        <w:t>Hörisch</w:t>
      </w:r>
      <w:proofErr w:type="spellEnd"/>
      <w:r w:rsidRPr="00CB09E8">
        <w:rPr>
          <w:i/>
        </w:rPr>
        <w:t xml:space="preserve"> einen Festvortrag zur Heidelberger Disputation. Eingeladen hatte ihn die Theologische Fakultät der Unive</w:t>
      </w:r>
      <w:r w:rsidRPr="00CB09E8">
        <w:rPr>
          <w:i/>
        </w:rPr>
        <w:t>r</w:t>
      </w:r>
      <w:r w:rsidRPr="00CB09E8">
        <w:rPr>
          <w:i/>
        </w:rPr>
        <w:t xml:space="preserve">sität Heidelberg. Die folgenden Sätze sind als thesenartige Zusammenfassung einiger Hauptgedanken </w:t>
      </w:r>
      <w:proofErr w:type="spellStart"/>
      <w:r w:rsidRPr="00CB09E8">
        <w:rPr>
          <w:i/>
        </w:rPr>
        <w:t>Hörischs</w:t>
      </w:r>
      <w:proofErr w:type="spellEnd"/>
      <w:r w:rsidRPr="00CB09E8">
        <w:rPr>
          <w:i/>
        </w:rPr>
        <w:t xml:space="preserve"> zu verstehen, ohne dass sie den Anspruch erheben, den ga</w:t>
      </w:r>
      <w:r w:rsidRPr="00CB09E8">
        <w:rPr>
          <w:i/>
        </w:rPr>
        <w:t>n</w:t>
      </w:r>
      <w:r w:rsidRPr="00CB09E8">
        <w:rPr>
          <w:i/>
        </w:rPr>
        <w:t>zen Vortrag zu umfassen. (Formulierung der Zusammenfassung: Ulrich Löffler)</w:t>
      </w:r>
    </w:p>
    <w:p w:rsidR="00CB09E8" w:rsidRDefault="00CB09E8" w:rsidP="00CB09E8">
      <w:pPr>
        <w:pStyle w:val="Listenabsatz"/>
        <w:numPr>
          <w:ilvl w:val="0"/>
          <w:numId w:val="3"/>
        </w:numPr>
      </w:pPr>
      <w:r>
        <w:t>Die abendländische Kultur ist in ihren Wurzeln durch das Werk und Wirkung von zwei Abweichlern und gesellschaftlich Ausgeschlossenen(Häretikern) ganz w</w:t>
      </w:r>
      <w:r>
        <w:t>e</w:t>
      </w:r>
      <w:r>
        <w:t>sentlich geprägt. Beide fanden einen gewaltsamen Tod, weil ihre Lehre und ihr Auftreten schlicht Unruhe verbreiteten bzw. störten. Der eine dieser Abweichler ist Jesus Christus; er wurde gekreuzigt. Der andere Abweichler ist der Philosoph Sokrates; er wurde wegen seiner Lehre dazu verurteilt, einen tödlichen Giftb</w:t>
      </w:r>
      <w:r>
        <w:t>e</w:t>
      </w:r>
      <w:r>
        <w:t>cher zu trinken.</w:t>
      </w:r>
    </w:p>
    <w:p w:rsidR="00CB09E8" w:rsidRPr="006D1F2B" w:rsidRDefault="00CB09E8" w:rsidP="00CB09E8">
      <w:pPr>
        <w:pStyle w:val="Listenabsatz"/>
        <w:numPr>
          <w:ilvl w:val="0"/>
          <w:numId w:val="3"/>
        </w:numPr>
      </w:pPr>
      <w:r w:rsidRPr="00496411">
        <w:t xml:space="preserve">Durch die enorme kulturprägende Kraft ihrer Gedanken und ihres Daseins werden diese Häretiker </w:t>
      </w:r>
      <w:r>
        <w:t>in der Folgezeit zu „eingeschlossenen Ausgeschlossenen“. Das b</w:t>
      </w:r>
      <w:r>
        <w:t>e</w:t>
      </w:r>
      <w:r>
        <w:t>deutet: Jesus und Sokrates „starteten“ und starben zwar jeweils als Abweichler in ihren jeweiligen Gesellschaften; aber die Wirkungen ihrer Person (und ihres Werks) entfaltete nach ihrem Tod eine enorme Breitenwirkung. Diese Breitenwi</w:t>
      </w:r>
      <w:r>
        <w:t>r</w:t>
      </w:r>
      <w:r>
        <w:t>kung prägt kulturelle und gesellschaftliche Grundeinstellungen bis zum heutigen Tage und bis in die Mitte der Gesellschaft hinein. Dies ist im Falle Jesu der christl</w:t>
      </w:r>
      <w:r>
        <w:t>i</w:t>
      </w:r>
      <w:r>
        <w:t>che Glaube, im Falle des Sokrates die aben</w:t>
      </w:r>
      <w:r>
        <w:t>d</w:t>
      </w:r>
      <w:r>
        <w:t xml:space="preserve">ländische Philosophie. </w:t>
      </w:r>
    </w:p>
    <w:p w:rsidR="00CB09E8" w:rsidRDefault="00CB09E8" w:rsidP="00CB09E8">
      <w:pPr>
        <w:pStyle w:val="Listenabsatz"/>
        <w:numPr>
          <w:ilvl w:val="0"/>
          <w:numId w:val="3"/>
        </w:numPr>
      </w:pPr>
      <w:r>
        <w:t xml:space="preserve">In seiner Beschäftigung mit der Heidelberger Disputation entdeckte Jochen </w:t>
      </w:r>
      <w:proofErr w:type="spellStart"/>
      <w:r>
        <w:t>H</w:t>
      </w:r>
      <w:r>
        <w:t>ö</w:t>
      </w:r>
      <w:r>
        <w:t>risch</w:t>
      </w:r>
      <w:proofErr w:type="spellEnd"/>
      <w:r>
        <w:t xml:space="preserve"> auf ganz verschiedenen Ebenen immer wieder eine vielfach variierte Bedeu</w:t>
      </w:r>
      <w:r>
        <w:t>t</w:t>
      </w:r>
      <w:r>
        <w:t>samkeit des „Zweiten“, des „Sekundären“. Das „Zweite“, das „Sekundäre“ und nicht das „Erste“ ist demnach der eigentliche Ort der Entscheidung, die eigentlich relevante Größe in einem Geschehen oder bei der Bewertung hinsichtlich der B</w:t>
      </w:r>
      <w:r>
        <w:t>e</w:t>
      </w:r>
      <w:r>
        <w:t xml:space="preserve">deutsamkeit eines Ereignisses. Kurz: Wichtig ist nicht „das Erste“, sondern „das Zweite“. </w:t>
      </w:r>
    </w:p>
    <w:p w:rsidR="00CB09E8" w:rsidRDefault="00CB09E8" w:rsidP="00CB09E8">
      <w:pPr>
        <w:pStyle w:val="Listenabsatz"/>
        <w:numPr>
          <w:ilvl w:val="1"/>
          <w:numId w:val="3"/>
        </w:numPr>
        <w:spacing w:after="0" w:line="240" w:lineRule="auto"/>
      </w:pPr>
      <w:r w:rsidRPr="003A4AED">
        <w:lastRenderedPageBreak/>
        <w:t xml:space="preserve">Luther </w:t>
      </w:r>
      <w:r>
        <w:t xml:space="preserve">konnte </w:t>
      </w:r>
      <w:r w:rsidRPr="003A4AED">
        <w:t xml:space="preserve">sich selbst immer </w:t>
      </w:r>
      <w:r>
        <w:t>wieder als den „zweiten Jan Hus“</w:t>
      </w:r>
      <w:r>
        <w:rPr>
          <w:rStyle w:val="Funotenzeichen"/>
        </w:rPr>
        <w:footnoteReference w:id="1"/>
      </w:r>
      <w:r>
        <w:t xml:space="preserve"> beschre</w:t>
      </w:r>
      <w:r>
        <w:t>i</w:t>
      </w:r>
      <w:r>
        <w:t>ben: er sei derjenige, den Jan Hus noch als sterbender Ketzer auf dem Sche</w:t>
      </w:r>
      <w:r>
        <w:t>i</w:t>
      </w:r>
      <w:r>
        <w:t>terhaufen als seinen wirkmächtigen Nachfolger prophezeite. Jan Hus wurde als Ketzer ve</w:t>
      </w:r>
      <w:r>
        <w:t>r</w:t>
      </w:r>
      <w:r>
        <w:t>brannt. Luther erlebte die Ausgestaltung seiner Reformideen zur evangelischen Kirche.</w:t>
      </w:r>
    </w:p>
    <w:p w:rsidR="00CB09E8" w:rsidRDefault="00CB09E8" w:rsidP="00CB09E8">
      <w:pPr>
        <w:pStyle w:val="Listenabsatz"/>
        <w:numPr>
          <w:ilvl w:val="1"/>
          <w:numId w:val="3"/>
        </w:numPr>
        <w:spacing w:after="0" w:line="240" w:lineRule="auto"/>
      </w:pPr>
      <w:r>
        <w:t xml:space="preserve">Luthers paradoxe Theologie des Kreuzes kehrt auf provozierende Weise die scheinbar klare Logik im Verhältnis zwischen Gott und Mensch um. Gott (das Primäre) zeigt sich (offenbart sich) am Ort des Menschen (des Sekundären) und zwar am Ort des radikal leidenden Menschen; der gekreuzigte Jesus und seine eminente Bedeutsamkeit für den christlichen Glauben steht für diese Umkehrung in der Beziehung Gott-Mensch. </w:t>
      </w:r>
    </w:p>
    <w:p w:rsidR="00CB09E8" w:rsidRDefault="00CB09E8" w:rsidP="00CB09E8">
      <w:pPr>
        <w:pStyle w:val="Listenabsatz"/>
        <w:numPr>
          <w:ilvl w:val="1"/>
          <w:numId w:val="3"/>
        </w:numPr>
        <w:spacing w:after="0" w:line="240" w:lineRule="auto"/>
      </w:pPr>
      <w:r>
        <w:t>Dies hat gravierende Folgen für die Vorstellung von der Allmacht Gottes: Die Allmacht Gottes wäre nicht vol</w:t>
      </w:r>
      <w:r>
        <w:t>l</w:t>
      </w:r>
      <w:r>
        <w:t>kommene Allmacht, würde sie nicht auch die Mach</w:t>
      </w:r>
      <w:r>
        <w:t>t</w:t>
      </w:r>
      <w:r>
        <w:t>losigkeit, die Ohnmacht in Tod und Kreuz, mit umfassen. Mit anderen Worten: Die Allmacht Gottes wäre nicht vollkommen, wäre aus ihr die Mö</w:t>
      </w:r>
      <w:r>
        <w:t>g</w:t>
      </w:r>
      <w:r>
        <w:t>lichkeit ausgeblendet, im Tod vollkommen machtlos zu sein. Der Tod Jesu setzt hier aber einen anderen, gege</w:t>
      </w:r>
      <w:r>
        <w:t>n</w:t>
      </w:r>
      <w:r>
        <w:t>teiligen Akzent. Im Tod Jesu zeigt sich die wahre Macht Gottes, weil er die vollständige Machtlosigkeit erleidet.</w:t>
      </w:r>
    </w:p>
    <w:p w:rsidR="00CB09E8" w:rsidRDefault="00CB09E8" w:rsidP="00CB09E8">
      <w:pPr>
        <w:pStyle w:val="Listenabsatz"/>
        <w:numPr>
          <w:ilvl w:val="1"/>
          <w:numId w:val="3"/>
        </w:numPr>
        <w:spacing w:after="0" w:line="240" w:lineRule="auto"/>
      </w:pPr>
      <w:r>
        <w:t xml:space="preserve">Der Ausdruck „Tod Jesu“ führt zu einer weiteren Würdigung des „Zweiten“. </w:t>
      </w:r>
      <w:proofErr w:type="spellStart"/>
      <w:r>
        <w:t>Hörisch</w:t>
      </w:r>
      <w:proofErr w:type="spellEnd"/>
      <w:r>
        <w:t xml:space="preserve"> beschreibt den Karsamstag, den zweiten Tag im dreitägigen Gesch</w:t>
      </w:r>
      <w:r>
        <w:t>e</w:t>
      </w:r>
      <w:r>
        <w:t>hen von Passion und Ostern (sog. Triduum), als einen bisher in der Theologie nicht g</w:t>
      </w:r>
      <w:r>
        <w:t>e</w:t>
      </w:r>
      <w:r>
        <w:t>nügend bedachten Tag. Am Karsamstag ist der Tod Jesu radikal. Er ist nicht berührt von einem „Noch Leben“ (am Karfreitag, dem Tag des Prozesses Jesu). Er ist auch nicht berührt vom Triumph der Auferstehung (Osterson</w:t>
      </w:r>
      <w:r>
        <w:t>n</w:t>
      </w:r>
      <w:r>
        <w:t xml:space="preserve">tag). </w:t>
      </w:r>
    </w:p>
    <w:p w:rsidR="00CB09E8" w:rsidRDefault="00CB09E8" w:rsidP="00CB09E8">
      <w:pPr>
        <w:pStyle w:val="Listenabsatz"/>
        <w:numPr>
          <w:ilvl w:val="1"/>
          <w:numId w:val="3"/>
        </w:numPr>
        <w:spacing w:after="0" w:line="240" w:lineRule="auto"/>
      </w:pPr>
      <w:r>
        <w:t>In der Heidelberger Disputation wird die Theologie des Kreuzes als paradoxe Theologie beschrieben. Dem entspricht, dass auch Luthers weiteres theolog</w:t>
      </w:r>
      <w:r>
        <w:t>i</w:t>
      </w:r>
      <w:r>
        <w:t>sches Denken von Paradoxa durchzogen ist. Beispiele dafür sind folgende Formulierungen: Der Mensch ist zugleich Sünder und Gerechtfertigter (</w:t>
      </w:r>
      <w:proofErr w:type="spellStart"/>
      <w:r>
        <w:t>simul</w:t>
      </w:r>
      <w:proofErr w:type="spellEnd"/>
      <w:r>
        <w:t xml:space="preserve"> </w:t>
      </w:r>
      <w:proofErr w:type="spellStart"/>
      <w:r>
        <w:t>iustus</w:t>
      </w:r>
      <w:proofErr w:type="spellEnd"/>
      <w:r>
        <w:t xml:space="preserve"> et </w:t>
      </w:r>
      <w:proofErr w:type="spellStart"/>
      <w:r>
        <w:t>peccator</w:t>
      </w:r>
      <w:proofErr w:type="spellEnd"/>
      <w:r>
        <w:t>)</w:t>
      </w:r>
      <w:r>
        <w:rPr>
          <w:rStyle w:val="Funotenzeichen"/>
        </w:rPr>
        <w:footnoteReference w:id="2"/>
      </w:r>
      <w:r>
        <w:t>; der Mensch ist zugleich freier Herr und dienstbarer Knecht</w:t>
      </w:r>
      <w:r>
        <w:rPr>
          <w:rStyle w:val="Funotenzeichen"/>
        </w:rPr>
        <w:footnoteReference w:id="3"/>
      </w:r>
      <w:r>
        <w:t xml:space="preserve">. </w:t>
      </w:r>
    </w:p>
    <w:p w:rsidR="00CB09E8" w:rsidRPr="00DF64A6" w:rsidRDefault="00CB09E8" w:rsidP="00CB09E8">
      <w:pPr>
        <w:pStyle w:val="Listenabsatz"/>
        <w:numPr>
          <w:ilvl w:val="0"/>
          <w:numId w:val="3"/>
        </w:numPr>
      </w:pPr>
      <w:bookmarkStart w:id="0" w:name="_GoBack"/>
      <w:bookmarkEnd w:id="0"/>
      <w:r w:rsidRPr="00DF64A6">
        <w:t xml:space="preserve">Die Theologen gehören einer merkwürdigen Zunft an. Bestimmt man nämlich Gott als den absoluten Beobachter, dann wären Theologen jene Menschen, die vorgeben, den absoluten Beobachter beobachten zu können. </w:t>
      </w:r>
    </w:p>
    <w:p w:rsidR="00CB09E8" w:rsidRDefault="00CB09E8" w:rsidP="0072524B"/>
    <w:sectPr w:rsidR="00CB09E8"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F00" w:rsidRDefault="00C75F00" w:rsidP="0072524B">
      <w:pPr>
        <w:spacing w:after="0" w:line="240" w:lineRule="auto"/>
      </w:pPr>
      <w:r>
        <w:separator/>
      </w:r>
    </w:p>
  </w:endnote>
  <w:endnote w:type="continuationSeparator" w:id="0">
    <w:p w:rsidR="00C75F00" w:rsidRDefault="00C75F00"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604D55">
                <w:rPr>
                  <w:noProof/>
                </w:rPr>
                <w:t>2</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F00" w:rsidRDefault="00C75F00" w:rsidP="0072524B">
      <w:pPr>
        <w:spacing w:after="0" w:line="240" w:lineRule="auto"/>
      </w:pPr>
      <w:r>
        <w:separator/>
      </w:r>
    </w:p>
  </w:footnote>
  <w:footnote w:type="continuationSeparator" w:id="0">
    <w:p w:rsidR="00C75F00" w:rsidRDefault="00C75F00" w:rsidP="0072524B">
      <w:pPr>
        <w:spacing w:after="0" w:line="240" w:lineRule="auto"/>
      </w:pPr>
      <w:r>
        <w:continuationSeparator/>
      </w:r>
    </w:p>
  </w:footnote>
  <w:footnote w:id="1">
    <w:p w:rsidR="00CB09E8" w:rsidRPr="003A4AED" w:rsidRDefault="00CB09E8" w:rsidP="00CB09E8">
      <w:pPr>
        <w:pStyle w:val="Funotentext"/>
      </w:pPr>
      <w:r>
        <w:rPr>
          <w:rStyle w:val="Funotenzeichen"/>
        </w:rPr>
        <w:footnoteRef/>
      </w:r>
      <w:r w:rsidRPr="00B659AF">
        <w:t xml:space="preserve"> </w:t>
      </w:r>
      <w:r>
        <w:t>Jan Hus (</w:t>
      </w:r>
      <w:r>
        <w:t>zu Deutsch</w:t>
      </w:r>
      <w:r>
        <w:t>: Gans) soll auf dem Scheiterhaufen gerufen haben: „Nun bratet ihr eine (magere) Gans, nach mir aber wird eine Schwan kommen.“</w:t>
      </w:r>
    </w:p>
  </w:footnote>
  <w:footnote w:id="2">
    <w:p w:rsidR="00CB09E8" w:rsidRPr="00E434AB" w:rsidRDefault="00CB09E8" w:rsidP="00CB09E8">
      <w:pPr>
        <w:pStyle w:val="Funotentext"/>
      </w:pPr>
      <w:r>
        <w:rPr>
          <w:rStyle w:val="Funotenzeichen"/>
        </w:rPr>
        <w:footnoteRef/>
      </w:r>
      <w:r w:rsidRPr="00E434AB">
        <w:t xml:space="preserve"> </w:t>
      </w:r>
      <w:r>
        <w:t xml:space="preserve">Zum Beispiel: </w:t>
      </w:r>
      <w:r w:rsidRPr="00C03CD0">
        <w:rPr>
          <w:rStyle w:val="reference-text"/>
        </w:rPr>
        <w:t>WA 56,347,3–4</w:t>
      </w:r>
      <w:r>
        <w:rPr>
          <w:rStyle w:val="reference-text"/>
        </w:rPr>
        <w:t>.</w:t>
      </w:r>
    </w:p>
  </w:footnote>
  <w:footnote w:id="3">
    <w:p w:rsidR="00CB09E8" w:rsidRPr="00780C20" w:rsidRDefault="00CB09E8" w:rsidP="00CB09E8">
      <w:pPr>
        <w:pStyle w:val="Funotentext"/>
      </w:pPr>
      <w:r>
        <w:rPr>
          <w:rStyle w:val="Funotenzeichen"/>
        </w:rPr>
        <w:footnoteRef/>
      </w:r>
      <w:r w:rsidRPr="00E434AB">
        <w:t xml:space="preserve"> </w:t>
      </w:r>
      <w:r>
        <w:t>In der Schrift „Von der Freiheit eines Christenmenschen“ (1520).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6F3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E3D165D"/>
    <w:multiLevelType w:val="multilevel"/>
    <w:tmpl w:val="ED74F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00"/>
    <w:rsid w:val="000A323B"/>
    <w:rsid w:val="00557486"/>
    <w:rsid w:val="00580653"/>
    <w:rsid w:val="005D5A74"/>
    <w:rsid w:val="0060271B"/>
    <w:rsid w:val="00604D55"/>
    <w:rsid w:val="00633B9C"/>
    <w:rsid w:val="00636E6B"/>
    <w:rsid w:val="0072524B"/>
    <w:rsid w:val="007D1125"/>
    <w:rsid w:val="00AA6C71"/>
    <w:rsid w:val="00C75F00"/>
    <w:rsid w:val="00CB09E8"/>
    <w:rsid w:val="00CF25D8"/>
    <w:rsid w:val="00D92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character" w:customStyle="1" w:styleId="reference-text">
    <w:name w:val="reference-text"/>
    <w:basedOn w:val="Absatz-Standardschriftart"/>
    <w:rsid w:val="00CB0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character" w:customStyle="1" w:styleId="reference-text">
    <w:name w:val="reference-text"/>
    <w:basedOn w:val="Absatz-Standardschriftart"/>
    <w:rsid w:val="00CB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EF12-8912-4A74-A9F7-2E929240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2</Pages>
  <Words>620</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3</cp:revision>
  <cp:lastPrinted>2018-08-06T06:44:00Z</cp:lastPrinted>
  <dcterms:created xsi:type="dcterms:W3CDTF">2018-08-06T06:34:00Z</dcterms:created>
  <dcterms:modified xsi:type="dcterms:W3CDTF">2018-08-06T06:44:00Z</dcterms:modified>
  <cp:category>RPI - Allgemeinbildendes Gymnasium</cp:category>
</cp:coreProperties>
</file>