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765" w:rsidRPr="00D82765" w:rsidRDefault="00D82765" w:rsidP="00D82765">
      <w:pPr>
        <w:rPr>
          <w:b/>
          <w:bCs/>
        </w:rPr>
      </w:pPr>
      <w:r w:rsidRPr="00D82765">
        <w:rPr>
          <w:b/>
          <w:bCs/>
        </w:rPr>
        <w:t>04 Die Eschatologie Jesu nach den Evangelien</w:t>
      </w:r>
    </w:p>
    <w:p w:rsidR="00D82765" w:rsidRDefault="00D82765" w:rsidP="00D82765">
      <w:r>
        <w:t>Jesu Eschatologie ist aufs engste verbunden mit dem Begriff des Reiches Gottes. Jesus von Nazareth lehrt nicht abstrakt oder ‚theologisierend‘ vom Reich Gottes</w:t>
      </w:r>
      <w:r>
        <w:t>. In seiner Person, in dem wie er redet und lebt, wie er wirkt und verkündigt ist das Reich Gottes schon da.</w:t>
      </w:r>
    </w:p>
    <w:p w:rsidR="00D82765" w:rsidRDefault="00D82765" w:rsidP="00D82765">
      <w:r>
        <w:t xml:space="preserve">Wie aber ist dies „ist nahe herbeigekommen“ (Mk 1,13) zu verstehen? </w:t>
      </w:r>
      <w:r>
        <w:t xml:space="preserve">Im Laufe der historisch-kritischen Forschungsgeschichte wurden unterschiedliche </w:t>
      </w:r>
      <w:r>
        <w:t>Erklärungsversuche</w:t>
      </w:r>
      <w:r>
        <w:t xml:space="preserve"> </w:t>
      </w:r>
      <w:r>
        <w:t xml:space="preserve">dazu </w:t>
      </w:r>
      <w:r>
        <w:t>entwicke</w:t>
      </w:r>
      <w:r>
        <w:t>lt:</w:t>
      </w:r>
    </w:p>
    <w:p w:rsidR="00D82765" w:rsidRDefault="00D82765" w:rsidP="00D82765">
      <w:r>
        <w:t xml:space="preserve">    1. Das Reich Gottes setzt sich </w:t>
      </w:r>
      <w:r>
        <w:t xml:space="preserve">im Rahmen der Menschheitsgeschichte </w:t>
      </w:r>
      <w:r>
        <w:t>durch das Liebeshandeln der Menschen durch. Es ist im Inneren des Menschen angebrochen (vgl. Lk 17,20-21) (Albrecht Ritschl, Unterricht, §§ 5-10)</w:t>
      </w:r>
      <w:r>
        <w:t>: kulturprotestantische Position.</w:t>
      </w:r>
    </w:p>
    <w:p w:rsidR="00D82765" w:rsidRDefault="00D82765" w:rsidP="00D82765">
      <w:r>
        <w:t xml:space="preserve">    2. Das Reich Gottes war für Jesus </w:t>
      </w:r>
      <w:r>
        <w:t>etwas, das</w:t>
      </w:r>
      <w:r>
        <w:t xml:space="preserve"> nach endzeitlichen Katastrophen anbrechen würde </w:t>
      </w:r>
      <w:r>
        <w:t>(</w:t>
      </w:r>
      <w:r>
        <w:t>Albert Schweitzer</w:t>
      </w:r>
      <w:r>
        <w:t>, Leben Jesu Forschung</w:t>
      </w:r>
      <w:r>
        <w:t xml:space="preserve">). Da, wo Jesus in den Evangelien vom Reich Gottes präsentisch spricht, </w:t>
      </w:r>
      <w:r>
        <w:t xml:space="preserve">beziehe er sich </w:t>
      </w:r>
      <w:r>
        <w:t>auf das kurz bevorstehende Weltende</w:t>
      </w:r>
      <w:r>
        <w:t xml:space="preserve">. Bis dahin gelte </w:t>
      </w:r>
      <w:proofErr w:type="gramStart"/>
      <w:r>
        <w:t xml:space="preserve">eine </w:t>
      </w:r>
      <w:r>
        <w:t xml:space="preserve"> </w:t>
      </w:r>
      <w:r>
        <w:t>Ethik</w:t>
      </w:r>
      <w:proofErr w:type="gramEnd"/>
      <w:r>
        <w:t xml:space="preserve">, die sich in ihrer Radikalität am nahen Ende </w:t>
      </w:r>
      <w:r w:rsidR="002F3BFF">
        <w:t>orientiert</w:t>
      </w:r>
      <w:r>
        <w:t xml:space="preserve"> </w:t>
      </w:r>
      <w:r>
        <w:t xml:space="preserve">(vgl. Schweitzer, </w:t>
      </w:r>
      <w:r>
        <w:rPr>
          <w:i/>
          <w:iCs/>
        </w:rPr>
        <w:t xml:space="preserve">Das </w:t>
      </w:r>
      <w:proofErr w:type="spellStart"/>
      <w:r>
        <w:rPr>
          <w:i/>
          <w:iCs/>
        </w:rPr>
        <w:t>Messianitäts</w:t>
      </w:r>
      <w:proofErr w:type="spellEnd"/>
      <w:r>
        <w:rPr>
          <w:i/>
          <w:iCs/>
        </w:rPr>
        <w:t>- und Leidensgeheimnis: eine Skizze des Lebens Jesu</w:t>
      </w:r>
      <w:r>
        <w:t>,</w:t>
      </w:r>
      <w:r>
        <w:t xml:space="preserve"> 18-23).</w:t>
      </w:r>
    </w:p>
    <w:p w:rsidR="00D82765" w:rsidRDefault="00D82765" w:rsidP="00D82765">
      <w:r>
        <w:t xml:space="preserve">    3. Das Reich Gottes war für Jesus eine </w:t>
      </w:r>
      <w:r>
        <w:t>heue gegenwärtige</w:t>
      </w:r>
      <w:r>
        <w:t xml:space="preserve"> Größe, die sich nach der Überzeugung Jesu in seiner Person </w:t>
      </w:r>
      <w:r>
        <w:t xml:space="preserve">sich darstellt </w:t>
      </w:r>
      <w:r>
        <w:t>(„</w:t>
      </w:r>
      <w:proofErr w:type="spellStart"/>
      <w:r>
        <w:t>realized</w:t>
      </w:r>
      <w:proofErr w:type="spellEnd"/>
      <w:r>
        <w:t xml:space="preserve"> </w:t>
      </w:r>
      <w:proofErr w:type="spellStart"/>
      <w:r>
        <w:t>eschatology</w:t>
      </w:r>
      <w:proofErr w:type="spellEnd"/>
      <w:r>
        <w:t>“, Charles Harold Dodd</w:t>
      </w:r>
      <w:r>
        <w:t xml:space="preserve">, </w:t>
      </w:r>
      <w:r>
        <w:rPr>
          <w:i/>
          <w:iCs/>
        </w:rPr>
        <w:t>Der Mann, nach dem wir Christen heißen.</w:t>
      </w:r>
      <w:r>
        <w:t xml:space="preserve"> Limburg 1975).</w:t>
      </w:r>
    </w:p>
    <w:p w:rsidR="00D82765" w:rsidRDefault="00D82765" w:rsidP="00D82765">
      <w:r>
        <w:t xml:space="preserve">    4. Das Reich Gottes war für Jesus sowohl eine futurische als auch eine präsentische Größe (</w:t>
      </w:r>
      <w:proofErr w:type="spellStart"/>
      <w:r>
        <w:t>Gerog</w:t>
      </w:r>
      <w:proofErr w:type="spellEnd"/>
      <w:r>
        <w:t xml:space="preserve"> Werner </w:t>
      </w:r>
      <w:r>
        <w:t>Kümmel, Verheißung</w:t>
      </w:r>
      <w:r>
        <w:t xml:space="preserve"> und Erfüllung, Zürich 1956</w:t>
      </w:r>
      <w:r>
        <w:t>). Diese vierte Variante ist heute weitgehend Konsens unter Exegeten.</w:t>
      </w:r>
    </w:p>
    <w:p w:rsidR="00D82765" w:rsidRDefault="00D82765" w:rsidP="00D82765">
      <w:r>
        <w:t xml:space="preserve">    5. Das Reich Gottes war für Jesus eine nahe futurische Größe, die aber </w:t>
      </w:r>
      <w:r>
        <w:t>persönlich unmittelbar den Menschen angehende</w:t>
      </w:r>
      <w:r>
        <w:t xml:space="preserve"> Bedeutung für die Gegenwart</w:t>
      </w:r>
      <w:r>
        <w:t xml:space="preserve"> hatte</w:t>
      </w:r>
      <w:r>
        <w:t>, somit zu einer auch präsentischen Größe wurde (Rudolf Bultmann,</w:t>
      </w:r>
      <w:r w:rsidRPr="00D82765">
        <w:rPr>
          <w:i/>
          <w:iCs/>
        </w:rPr>
        <w:t xml:space="preserve"> </w:t>
      </w:r>
      <w:r>
        <w:rPr>
          <w:i/>
          <w:iCs/>
        </w:rPr>
        <w:t>Theologie des Neuen Testaments</w:t>
      </w:r>
      <w:r>
        <w:rPr>
          <w:i/>
          <w:iCs/>
        </w:rPr>
        <w:t>, Tübingen 1977</w:t>
      </w:r>
      <w:r>
        <w:t>).</w:t>
      </w:r>
    </w:p>
    <w:p w:rsidR="00D82765" w:rsidRDefault="00D82765" w:rsidP="00D82765">
      <w:r>
        <w:t>Der Begriff des Reiches Gottes</w:t>
      </w:r>
      <w:r>
        <w:t xml:space="preserve"> entspricht der Königsherrschaft Gottes im Alten Testament </w:t>
      </w:r>
      <w:r>
        <w:t>(z.B. 1Chr 28,5). Bei Matthäus findet sich bis auf vier Ausnahmen die Formulierung „Reich der Himmel“ anstatt „Reich Gottes“. Jesus hat aber wohl ausschließlich „Reich Gottes“ verwendet.</w:t>
      </w:r>
    </w:p>
    <w:p w:rsidR="00D82765" w:rsidRDefault="00D82765" w:rsidP="00D82765">
      <w:r>
        <w:t xml:space="preserve">Die </w:t>
      </w:r>
      <w:r>
        <w:t xml:space="preserve">alttestamentliche Vorstellung </w:t>
      </w:r>
      <w:r w:rsidR="003610DE">
        <w:t>vom</w:t>
      </w:r>
      <w:r>
        <w:t xml:space="preserve"> Königtum</w:t>
      </w:r>
      <w:r w:rsidR="003610DE">
        <w:t xml:space="preserve"> </w:t>
      </w:r>
      <w:r>
        <w:t>Gottes</w:t>
      </w:r>
      <w:r w:rsidR="003610DE">
        <w:t xml:space="preserve"> rechnet</w:t>
      </w:r>
      <w:r>
        <w:t xml:space="preserve"> mit einer </w:t>
      </w:r>
      <w:r w:rsidR="003610DE">
        <w:t xml:space="preserve">im hier und jetzt beginnenden </w:t>
      </w:r>
      <w:r>
        <w:t xml:space="preserve">Errichtung der göttlichen Herrschaft rechnete (Jes 6,5; 2Kön 19,14-15; Jes 37,14-16; </w:t>
      </w:r>
      <w:proofErr w:type="spellStart"/>
      <w:r>
        <w:t>Ps</w:t>
      </w:r>
      <w:proofErr w:type="spellEnd"/>
      <w:r>
        <w:t xml:space="preserve"> 47; </w:t>
      </w:r>
      <w:proofErr w:type="spellStart"/>
      <w:r>
        <w:t>Ps</w:t>
      </w:r>
      <w:proofErr w:type="spellEnd"/>
      <w:r>
        <w:t xml:space="preserve"> 99,1)</w:t>
      </w:r>
      <w:r w:rsidR="003610DE">
        <w:t xml:space="preserve">. Hingegen </w:t>
      </w:r>
      <w:r>
        <w:t xml:space="preserve">ging die Apokalyptik von einem Königtum Gottes aus, das am Ende der Welt und der Zeiten anbrechen würde. Die Apokalyptik entwickelte sich in </w:t>
      </w:r>
      <w:r w:rsidR="003610DE">
        <w:t xml:space="preserve">der </w:t>
      </w:r>
      <w:r>
        <w:t>Zeit</w:t>
      </w:r>
      <w:r w:rsidR="003610DE">
        <w:t xml:space="preserve"> zwischen der Entstehung der beiden Testamente;</w:t>
      </w:r>
      <w:r>
        <w:t xml:space="preserve"> ihre Anfänge sind aber bereits im Buch Daniel zu fassen.</w:t>
      </w:r>
    </w:p>
    <w:p w:rsidR="00D82765" w:rsidRDefault="00D82765" w:rsidP="00D82765">
      <w:r>
        <w:t xml:space="preserve">Das Reich Gottes ist die endzeitliche Errichtung der Herrschaft Gottes auf Erden, wobei Jesus  besonders die Gedanken weiter auszieht, die erste Ansätze eines die </w:t>
      </w:r>
      <w:r w:rsidR="003610DE">
        <w:t xml:space="preserve">Grenzen des jüdischen Volkes </w:t>
      </w:r>
      <w:r>
        <w:t xml:space="preserve">überschreitenden </w:t>
      </w:r>
      <w:r w:rsidR="003610DE">
        <w:t xml:space="preserve">allen Menschen geltenden Heils </w:t>
      </w:r>
      <w:r>
        <w:t>erkennen lassen“ (vgl. Mt 8,11-12; Mt 11,21-24 u.a.). Das alttestamentliche Motiv</w:t>
      </w:r>
      <w:r w:rsidR="009676F5">
        <w:t xml:space="preserve">, </w:t>
      </w:r>
      <w:r w:rsidR="003610DE">
        <w:t>dass alle Völker zum Berg Zion nach Jerusalem ziehen werden</w:t>
      </w:r>
      <w:r>
        <w:t xml:space="preserve"> (z.B. Jes 2,2-5; Jes 60; </w:t>
      </w:r>
      <w:proofErr w:type="spellStart"/>
      <w:r>
        <w:t>Jer</w:t>
      </w:r>
      <w:proofErr w:type="spellEnd"/>
      <w:r>
        <w:t xml:space="preserve"> 16,19-21; Mi 4,1-5) wird von Jesus aufgenommen, jedoch </w:t>
      </w:r>
      <w:r w:rsidR="003610DE">
        <w:t xml:space="preserve">ziehen </w:t>
      </w:r>
      <w:r>
        <w:t>die Völker in seiner Deutung nicht zum Zion oder nach</w:t>
      </w:r>
      <w:r w:rsidR="009676F5">
        <w:t xml:space="preserve"> </w:t>
      </w:r>
      <w:r>
        <w:t xml:space="preserve">Jerusalem, sondern ins Himmelreich (Mt 8,11). </w:t>
      </w:r>
    </w:p>
    <w:p w:rsidR="009676F5" w:rsidRDefault="009676F5" w:rsidP="00D82765">
      <w:r>
        <w:t xml:space="preserve">Futurische Eschatologie findet </w:t>
      </w:r>
      <w:r w:rsidR="00F31AEC">
        <w:t xml:space="preserve">in den </w:t>
      </w:r>
      <w:r>
        <w:t>Seligpreisungen: „Selig seid ihr jetzt Hungernden, denn ihr werdet gesättigt werden. Selig seid ihr Trauernden, denn ihr werdet getröstet werden“</w:t>
      </w:r>
      <w:r w:rsidR="00F31AEC">
        <w:t xml:space="preserve"> (Lk 6,21). </w:t>
      </w:r>
      <w:r>
        <w:t xml:space="preserve">Ein weiteres Beispiel </w:t>
      </w:r>
      <w:r w:rsidR="00F31AEC">
        <w:t>das</w:t>
      </w:r>
      <w:r w:rsidR="002F3BFF">
        <w:t xml:space="preserve"> </w:t>
      </w:r>
      <w:r>
        <w:t xml:space="preserve">Abendmahlswort </w:t>
      </w:r>
      <w:r w:rsidR="00F31AEC">
        <w:t>Mk 14,25</w:t>
      </w:r>
      <w:r>
        <w:t xml:space="preserve"> „Wahrlich, ich sage euch, dass ich nicht mehr trinken werde vom Gewächs des Weinstocks bis an den Tag, an dem ich aufs </w:t>
      </w:r>
      <w:proofErr w:type="gramStart"/>
      <w:r>
        <w:t>neue</w:t>
      </w:r>
      <w:proofErr w:type="gramEnd"/>
      <w:r>
        <w:t xml:space="preserve"> davon trinken werde im Reich Gottes.“ Auch hier wird das Reich Gottes von Jesus als noch nicht angebrochen vorgestellt.</w:t>
      </w:r>
    </w:p>
    <w:p w:rsidR="00D82765" w:rsidRDefault="00D82765" w:rsidP="00D82765">
      <w:r>
        <w:lastRenderedPageBreak/>
        <w:t>Beispiele dafür, dass Jesus das Reich Gottes als bereits angebrochen gedacht hat, sind:</w:t>
      </w:r>
    </w:p>
    <w:p w:rsidR="00D82765" w:rsidRDefault="00D82765" w:rsidP="00D82765">
      <w:r>
        <w:t xml:space="preserve">Jesu </w:t>
      </w:r>
      <w:r w:rsidR="003610DE">
        <w:t xml:space="preserve">Wort </w:t>
      </w:r>
      <w:proofErr w:type="spellStart"/>
      <w:r w:rsidR="003610DE">
        <w:t>anläßlich</w:t>
      </w:r>
      <w:proofErr w:type="spellEnd"/>
      <w:r w:rsidR="003610DE">
        <w:t xml:space="preserve"> </w:t>
      </w:r>
      <w:r>
        <w:t>seiner Dämonenaustreibungen Mt 12,28 par Lk 11,20: „Wenn ich aber die Dämonen durch den Geist [Lk: Finger] Gottes austreibe, so ist ja das Reich Gottes zu euch gekommen.“</w:t>
      </w:r>
    </w:p>
    <w:p w:rsidR="003610DE" w:rsidRDefault="00D82765" w:rsidP="00D82765">
      <w:r>
        <w:t>Das Sondergut-Logion Lk 17,20-21: „Das Reich Gottes kommt nicht so, dass man’s beobachten kann, man wird auch nicht sagen: Siehe, hier ist es! Oder: Da ist es! Denn siehe, das Reich Gottes ist mitten unter euch</w:t>
      </w:r>
      <w:r w:rsidR="003610DE">
        <w:t>.</w:t>
      </w:r>
      <w:r>
        <w:t xml:space="preserve"> </w:t>
      </w:r>
    </w:p>
    <w:p w:rsidR="003610DE" w:rsidRDefault="00D82765" w:rsidP="00D82765">
      <w:r>
        <w:t xml:space="preserve">Will man nicht die zahlreichen Belege der futurischen Eschatologie gegen die zahlreichen der präsentischen Eschatologie ausspielen, so muss man annehmen, dass der historische Jesus sowohl futurische als auch präsentische Eschatologie vertrat. </w:t>
      </w:r>
    </w:p>
    <w:p w:rsidR="00F74A13" w:rsidRDefault="003610DE" w:rsidP="00D82765">
      <w:r>
        <w:t>B</w:t>
      </w:r>
      <w:r w:rsidR="002F3BFF">
        <w:t>ei</w:t>
      </w:r>
      <w:r>
        <w:t xml:space="preserve"> den</w:t>
      </w:r>
      <w:r w:rsidR="00D82765">
        <w:t xml:space="preserve"> Gleichnisse</w:t>
      </w:r>
      <w:r>
        <w:t xml:space="preserve">n Jesu wird dies besonders deutlich. </w:t>
      </w:r>
      <w:r w:rsidR="00D82765">
        <w:t xml:space="preserve">Gleichnisse finden sich ausschließlich bei den </w:t>
      </w:r>
      <w:r>
        <w:t xml:space="preserve">ersten drei Evangelien </w:t>
      </w:r>
      <w:r w:rsidR="00D82765">
        <w:t xml:space="preserve">und sind szenische Veranschaulichungen des Reiches Gottes, genauer: </w:t>
      </w:r>
      <w:proofErr w:type="gramStart"/>
      <w:r w:rsidR="00D82765">
        <w:t>je eines Aspekts</w:t>
      </w:r>
      <w:proofErr w:type="gramEnd"/>
      <w:r w:rsidR="00D82765">
        <w:t xml:space="preserve"> des Reiches Gottes (z.B. der Unaufhaltsamkeit, des plötzlichen Eintretens; Viele Gleichnisse werden demgemäß eingeleitet mit „Das Reich Gottes is</w:t>
      </w:r>
      <w:r>
        <w:t>t wie“.</w:t>
      </w:r>
    </w:p>
    <w:p w:rsidR="003610DE" w:rsidRDefault="003610DE" w:rsidP="00D82765">
      <w:r>
        <w:t>Arbeitsaufgaben</w:t>
      </w:r>
    </w:p>
    <w:p w:rsidR="0026116A" w:rsidRDefault="003610DE" w:rsidP="003610DE">
      <w:pPr>
        <w:pStyle w:val="Listenabsatz"/>
        <w:numPr>
          <w:ilvl w:val="0"/>
          <w:numId w:val="2"/>
        </w:numPr>
      </w:pPr>
      <w:r>
        <w:t>Analysieren Sie folgenden Text aus Lukas 17 auf Anteile von präsentischer und futurischer Vorstellungen vom Kommen des Reiches Gottes</w:t>
      </w:r>
      <w:r w:rsidR="0026116A">
        <w:t>.</w:t>
      </w:r>
    </w:p>
    <w:p w:rsidR="0026116A" w:rsidRDefault="0026116A" w:rsidP="003610DE">
      <w:pPr>
        <w:pStyle w:val="Listenabsatz"/>
        <w:numPr>
          <w:ilvl w:val="0"/>
          <w:numId w:val="2"/>
        </w:numPr>
      </w:pPr>
      <w:r>
        <w:t>Interpretieren Sie in diesem Zusammenhang die Bedeutung von Tod und Auferstehung des</w:t>
      </w:r>
    </w:p>
    <w:p w:rsidR="003610DE" w:rsidRDefault="0026116A" w:rsidP="0026116A">
      <w:pPr>
        <w:pStyle w:val="Listenabsatz"/>
      </w:pPr>
      <w:r>
        <w:t xml:space="preserve">„Menschensohns“ (Jesus selbst) angesichts des nahenden Endes. </w:t>
      </w:r>
    </w:p>
    <w:p w:rsidR="003610DE" w:rsidRDefault="003610DE" w:rsidP="003610DE">
      <w:pPr>
        <w:pStyle w:val="Listenabsatz"/>
      </w:pPr>
      <w:r>
        <w:t xml:space="preserve">20 Als er aber von den Pharisäern gefragt wurde: Wann kommt das Reich </w:t>
      </w:r>
      <w:proofErr w:type="gramStart"/>
      <w:r>
        <w:t>Gottes?,</w:t>
      </w:r>
      <w:proofErr w:type="gramEnd"/>
      <w:r w:rsidR="002F3BFF">
        <w:t xml:space="preserve"> </w:t>
      </w:r>
      <w:r>
        <w:t>antwortete er ihnen und sprach: Das Reich Gottes kommt nicht mit äußeren Zeichen; 21 man wird auch nicht sagen: Siehe, hier!, oder: Da! Denn sehet, das Reich Gottes ist mitten unter euch.</w:t>
      </w:r>
    </w:p>
    <w:p w:rsidR="003610DE" w:rsidRDefault="003610DE" w:rsidP="003610DE">
      <w:pPr>
        <w:pStyle w:val="Listenabsatz"/>
      </w:pPr>
      <w:r>
        <w:t xml:space="preserve">22 Er sprach aber zu den Jüngern: Es wird die Zeit kommen, in der ihr begehren werdet, zu sehen einen der Tage des Menschensohns, und werdet ihn nicht sehen. 23 Und sie werden zu euch sagen: Siehe, </w:t>
      </w:r>
      <w:proofErr w:type="gramStart"/>
      <w:r>
        <w:t>da!,</w:t>
      </w:r>
      <w:proofErr w:type="gramEnd"/>
      <w:r>
        <w:t xml:space="preserve"> oder: Siehe, hier! Geht nicht hin und lauft nicht hinterher! 24 Denn wie der Blitz aufblitzt und leuchtet von einem Ende des Himmels bis zum andern, so wird der Menschensohn an seinem Tage sein. 25 Zuvor aber muss er viel leiden und verworfen werden von diesem Geschlecht. 26 Und wie es geschah in den Tagen Noahs, so wird's auch sein in den Tagen des Menschensohns: 27 Sie aßen, sie tranken, sie heirateten, sie ließen sich heiraten bis zu dem Tag, an dem Noah in die Arche ging und die Sintflut kam und brachte sie alle um. 30 Auf diese Weise wird's auch gehen an dem Tage, wenn der Menschensohn wird offenbar werden.</w:t>
      </w:r>
    </w:p>
    <w:p w:rsidR="0026116A" w:rsidRDefault="0026116A" w:rsidP="0026116A">
      <w:pPr>
        <w:pStyle w:val="Listenabsatz"/>
        <w:numPr>
          <w:ilvl w:val="0"/>
          <w:numId w:val="2"/>
        </w:numPr>
      </w:pPr>
      <w:r>
        <w:t xml:space="preserve">Nehmen Sie Stellung zu Vorstellungen, die von einer Art göttlichem Fahrplan ausgehen, nach dem alles vorherbestimmt ist. Informieren Sie sich dazu anhand von </w:t>
      </w:r>
      <w:hyperlink r:id="rId5" w:history="1">
        <w:r w:rsidRPr="00BE26C2">
          <w:rPr>
            <w:rStyle w:val="Hyperlink"/>
          </w:rPr>
          <w:t>https://de.wikipedia.org/wiki/Millenarismus</w:t>
        </w:r>
      </w:hyperlink>
    </w:p>
    <w:p w:rsidR="0026116A" w:rsidRDefault="0026116A" w:rsidP="0026116A">
      <w:pPr>
        <w:pStyle w:val="Listenabsatz"/>
      </w:pPr>
      <w:bookmarkStart w:id="0" w:name="_GoBack"/>
      <w:bookmarkEnd w:id="0"/>
    </w:p>
    <w:sectPr w:rsidR="002611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3DD7"/>
    <w:multiLevelType w:val="hybridMultilevel"/>
    <w:tmpl w:val="1C5EC7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AE00178"/>
    <w:multiLevelType w:val="hybridMultilevel"/>
    <w:tmpl w:val="DC683C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65"/>
    <w:rsid w:val="0026116A"/>
    <w:rsid w:val="002F3BFF"/>
    <w:rsid w:val="003610DE"/>
    <w:rsid w:val="009676F5"/>
    <w:rsid w:val="00D82765"/>
    <w:rsid w:val="00F31AEC"/>
    <w:rsid w:val="00F74A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180F"/>
  <w15:chartTrackingRefBased/>
  <w15:docId w15:val="{89BA9FE9-5CB5-47D6-AFE2-F0917EE3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2765"/>
    <w:pPr>
      <w:ind w:left="720"/>
      <w:contextualSpacing/>
    </w:pPr>
  </w:style>
  <w:style w:type="character" w:styleId="Hyperlink">
    <w:name w:val="Hyperlink"/>
    <w:basedOn w:val="Absatz-Standardschriftart"/>
    <w:uiPriority w:val="99"/>
    <w:unhideWhenUsed/>
    <w:rsid w:val="0026116A"/>
    <w:rPr>
      <w:color w:val="0563C1" w:themeColor="hyperlink"/>
      <w:u w:val="single"/>
    </w:rPr>
  </w:style>
  <w:style w:type="character" w:styleId="NichtaufgelsteErwhnung">
    <w:name w:val="Unresolved Mention"/>
    <w:basedOn w:val="Absatz-Standardschriftart"/>
    <w:uiPriority w:val="99"/>
    <w:semiHidden/>
    <w:unhideWhenUsed/>
    <w:rsid w:val="00261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79444">
      <w:bodyDiv w:val="1"/>
      <w:marLeft w:val="0"/>
      <w:marRight w:val="0"/>
      <w:marTop w:val="0"/>
      <w:marBottom w:val="0"/>
      <w:divBdr>
        <w:top w:val="none" w:sz="0" w:space="0" w:color="auto"/>
        <w:left w:val="none" w:sz="0" w:space="0" w:color="auto"/>
        <w:bottom w:val="none" w:sz="0" w:space="0" w:color="auto"/>
        <w:right w:val="none" w:sz="0" w:space="0" w:color="auto"/>
      </w:divBdr>
      <w:divsChild>
        <w:div w:id="948776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wikipedia.org/wiki/Millenarismus"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5588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Hauser, Uwe</cp:lastModifiedBy>
  <cp:revision>3</cp:revision>
  <dcterms:created xsi:type="dcterms:W3CDTF">2020-09-08T16:51:00Z</dcterms:created>
  <dcterms:modified xsi:type="dcterms:W3CDTF">2020-09-08T17:30:00Z</dcterms:modified>
</cp:coreProperties>
</file>