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066" w:rsidRPr="00A7634C" w:rsidRDefault="00711080" w:rsidP="00702ED8">
      <w:pPr>
        <w:pStyle w:val="StandardWeb"/>
        <w:spacing w:before="96" w:beforeAutospacing="0" w:after="96" w:afterAutospacing="0"/>
        <w:jc w:val="both"/>
        <w:rPr>
          <w:rFonts w:asciiTheme="minorHAnsi" w:hAnsiTheme="minorHAnsi" w:cstheme="minorHAnsi"/>
          <w:b/>
          <w:bCs/>
          <w:color w:val="000000"/>
          <w:sz w:val="32"/>
          <w:szCs w:val="32"/>
        </w:rPr>
      </w:pPr>
      <w:r>
        <w:rPr>
          <w:rFonts w:asciiTheme="minorHAnsi" w:hAnsiTheme="minorHAnsi" w:cstheme="minorHAnsi"/>
          <w:b/>
          <w:bCs/>
          <w:color w:val="000000"/>
          <w:sz w:val="32"/>
          <w:szCs w:val="32"/>
        </w:rPr>
        <w:t xml:space="preserve">06 </w:t>
      </w:r>
      <w:r w:rsidR="00A7634C">
        <w:rPr>
          <w:rFonts w:asciiTheme="minorHAnsi" w:hAnsiTheme="minorHAnsi" w:cstheme="minorHAnsi"/>
          <w:b/>
          <w:bCs/>
          <w:color w:val="000000"/>
          <w:sz w:val="32"/>
          <w:szCs w:val="32"/>
        </w:rPr>
        <w:t>Martin Luther</w:t>
      </w:r>
      <w:r>
        <w:rPr>
          <w:rFonts w:asciiTheme="minorHAnsi" w:hAnsiTheme="minorHAnsi" w:cstheme="minorHAnsi"/>
          <w:b/>
          <w:bCs/>
          <w:color w:val="000000"/>
          <w:sz w:val="32"/>
          <w:szCs w:val="32"/>
        </w:rPr>
        <w:t xml:space="preserve"> - </w:t>
      </w:r>
      <w:r w:rsidR="00C25066" w:rsidRPr="00A7634C">
        <w:rPr>
          <w:rFonts w:asciiTheme="minorHAnsi" w:hAnsiTheme="minorHAnsi" w:cstheme="minorHAnsi"/>
          <w:b/>
          <w:bCs/>
          <w:color w:val="000000"/>
          <w:sz w:val="32"/>
          <w:szCs w:val="32"/>
        </w:rPr>
        <w:t xml:space="preserve">Von </w:t>
      </w:r>
      <w:r>
        <w:rPr>
          <w:rFonts w:asciiTheme="minorHAnsi" w:hAnsiTheme="minorHAnsi" w:cstheme="minorHAnsi"/>
          <w:b/>
          <w:bCs/>
          <w:color w:val="000000"/>
          <w:sz w:val="32"/>
          <w:szCs w:val="32"/>
        </w:rPr>
        <w:t>w</w:t>
      </w:r>
      <w:r w:rsidR="00C25066" w:rsidRPr="00A7634C">
        <w:rPr>
          <w:rFonts w:asciiTheme="minorHAnsi" w:hAnsiTheme="minorHAnsi" w:cstheme="minorHAnsi"/>
          <w:b/>
          <w:bCs/>
          <w:color w:val="000000"/>
          <w:sz w:val="32"/>
          <w:szCs w:val="32"/>
        </w:rPr>
        <w:t>eltlicher Obrigkeit</w:t>
      </w:r>
    </w:p>
    <w:p w:rsidR="00702ED8" w:rsidRPr="00702ED8" w:rsidRDefault="00FA7CB8" w:rsidP="00702ED8">
      <w:pPr>
        <w:pStyle w:val="StandardWeb"/>
        <w:spacing w:before="96" w:beforeAutospacing="0" w:after="96" w:afterAutospacing="0"/>
        <w:jc w:val="both"/>
        <w:rPr>
          <w:rFonts w:asciiTheme="minorHAnsi" w:hAnsiTheme="minorHAnsi" w:cstheme="minorHAnsi"/>
          <w:color w:val="000000"/>
        </w:rPr>
      </w:pPr>
      <w:r>
        <w:rPr>
          <w:noProof/>
        </w:rPr>
        <w:drawing>
          <wp:anchor distT="0" distB="0" distL="114300" distR="114300" simplePos="0" relativeHeight="251658240" behindDoc="1" locked="0" layoutInCell="1" allowOverlap="1">
            <wp:simplePos x="0" y="0"/>
            <wp:positionH relativeFrom="column">
              <wp:posOffset>2413</wp:posOffset>
            </wp:positionH>
            <wp:positionV relativeFrom="paragraph">
              <wp:posOffset>2540</wp:posOffset>
            </wp:positionV>
            <wp:extent cx="3566033" cy="3432064"/>
            <wp:effectExtent l="0" t="0" r="0" b="0"/>
            <wp:wrapTight wrapText="bothSides">
              <wp:wrapPolygon edited="0">
                <wp:start x="0" y="0"/>
                <wp:lineTo x="0" y="21464"/>
                <wp:lineTo x="21465" y="21464"/>
                <wp:lineTo x="21465"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8370" r="5733"/>
                    <a:stretch/>
                  </pic:blipFill>
                  <pic:spPr bwMode="auto">
                    <a:xfrm>
                      <a:off x="0" y="0"/>
                      <a:ext cx="3566033" cy="3432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2ED8">
        <w:rPr>
          <w:rFonts w:asciiTheme="minorHAnsi" w:hAnsiTheme="minorHAnsi" w:cstheme="minorHAnsi"/>
          <w:color w:val="000000"/>
        </w:rPr>
        <w:t xml:space="preserve"> </w:t>
      </w:r>
      <w:r w:rsidR="00702ED8" w:rsidRPr="00702ED8">
        <w:rPr>
          <w:rFonts w:asciiTheme="minorHAnsi" w:hAnsiTheme="minorHAnsi" w:cstheme="minorHAnsi"/>
          <w:color w:val="000000"/>
        </w:rPr>
        <w:t xml:space="preserve">Das Mittelalter ist gekennzeichnet durch die Suche nach einem Gleichgewicht zwischen weltlicher (symbolisiert im Kaiser) und geistlicher (symbolisiert im Papst) Macht. </w:t>
      </w:r>
    </w:p>
    <w:p w:rsidR="00702ED8" w:rsidRPr="00702ED8" w:rsidRDefault="00702ED8" w:rsidP="00702ED8">
      <w:pPr>
        <w:rPr>
          <w:sz w:val="24"/>
          <w:szCs w:val="24"/>
        </w:rPr>
      </w:pPr>
      <w:r w:rsidRPr="00702ED8">
        <w:rPr>
          <w:rFonts w:cstheme="minorHAnsi"/>
          <w:color w:val="000000"/>
          <w:sz w:val="24"/>
          <w:szCs w:val="24"/>
        </w:rPr>
        <w:t xml:space="preserve">Die päpstliche Machtkirche im späten Mittelalter versucht Macht über die </w:t>
      </w:r>
      <w:r w:rsidR="00B91AE8">
        <w:rPr>
          <w:rFonts w:cstheme="minorHAnsi"/>
          <w:color w:val="000000"/>
          <w:sz w:val="24"/>
          <w:szCs w:val="24"/>
        </w:rPr>
        <w:t>S</w:t>
      </w:r>
      <w:r w:rsidRPr="00702ED8">
        <w:rPr>
          <w:rFonts w:cstheme="minorHAnsi"/>
          <w:color w:val="000000"/>
          <w:sz w:val="24"/>
          <w:szCs w:val="24"/>
        </w:rPr>
        <w:t xml:space="preserve">eelen und den Leib der Menschen auszuüben. </w:t>
      </w:r>
      <w:r w:rsidR="00C25066">
        <w:rPr>
          <w:rFonts w:cstheme="minorHAnsi"/>
          <w:color w:val="000000"/>
          <w:sz w:val="24"/>
          <w:szCs w:val="24"/>
        </w:rPr>
        <w:t xml:space="preserve">Die „Obrigkeit“ dient ihr dabei nur als Handlanger. </w:t>
      </w:r>
      <w:r w:rsidRPr="00702ED8">
        <w:rPr>
          <w:rFonts w:cstheme="minorHAnsi"/>
          <w:color w:val="000000"/>
          <w:sz w:val="24"/>
          <w:szCs w:val="24"/>
        </w:rPr>
        <w:t>Die soge</w:t>
      </w:r>
      <w:r w:rsidR="00C25066">
        <w:rPr>
          <w:rFonts w:cstheme="minorHAnsi"/>
          <w:color w:val="000000"/>
          <w:sz w:val="24"/>
          <w:szCs w:val="24"/>
        </w:rPr>
        <w:t>n</w:t>
      </w:r>
      <w:r w:rsidRPr="00702ED8">
        <w:rPr>
          <w:rFonts w:cstheme="minorHAnsi"/>
          <w:color w:val="000000"/>
          <w:sz w:val="24"/>
          <w:szCs w:val="24"/>
        </w:rPr>
        <w:t xml:space="preserve">annte </w:t>
      </w:r>
      <w:r w:rsidR="00C25066">
        <w:rPr>
          <w:rFonts w:cstheme="minorHAnsi"/>
          <w:color w:val="000000"/>
          <w:sz w:val="24"/>
          <w:szCs w:val="24"/>
        </w:rPr>
        <w:t>kirchliche „</w:t>
      </w:r>
      <w:r w:rsidRPr="00702ED8">
        <w:rPr>
          <w:rFonts w:cstheme="minorHAnsi"/>
          <w:color w:val="000000"/>
          <w:sz w:val="24"/>
          <w:szCs w:val="24"/>
        </w:rPr>
        <w:t>Inquisition</w:t>
      </w:r>
      <w:r w:rsidR="00C25066">
        <w:rPr>
          <w:rFonts w:cstheme="minorHAnsi"/>
          <w:color w:val="000000"/>
          <w:sz w:val="24"/>
          <w:szCs w:val="24"/>
        </w:rPr>
        <w:t>“</w:t>
      </w:r>
      <w:r w:rsidRPr="00702ED8">
        <w:rPr>
          <w:rFonts w:cstheme="minorHAnsi"/>
          <w:color w:val="000000"/>
          <w:sz w:val="24"/>
          <w:szCs w:val="24"/>
        </w:rPr>
        <w:t xml:space="preserve"> untersucht nicht weltliche Verbrechen (Diebstahl, Mord…)</w:t>
      </w:r>
      <w:r w:rsidR="00C25066">
        <w:rPr>
          <w:rFonts w:cstheme="minorHAnsi"/>
          <w:color w:val="000000"/>
          <w:sz w:val="24"/>
          <w:szCs w:val="24"/>
        </w:rPr>
        <w:t>,</w:t>
      </w:r>
      <w:r w:rsidRPr="00702ED8">
        <w:rPr>
          <w:rFonts w:cstheme="minorHAnsi"/>
          <w:color w:val="000000"/>
          <w:sz w:val="24"/>
          <w:szCs w:val="24"/>
        </w:rPr>
        <w:t xml:space="preserve"> sondern d</w:t>
      </w:r>
      <w:r w:rsidR="00C25066">
        <w:rPr>
          <w:rFonts w:cstheme="minorHAnsi"/>
          <w:color w:val="000000"/>
          <w:sz w:val="24"/>
          <w:szCs w:val="24"/>
        </w:rPr>
        <w:t>en</w:t>
      </w:r>
      <w:r w:rsidRPr="00702ED8">
        <w:rPr>
          <w:rFonts w:cstheme="minorHAnsi"/>
          <w:color w:val="000000"/>
          <w:sz w:val="24"/>
          <w:szCs w:val="24"/>
        </w:rPr>
        <w:t xml:space="preserve"> Glauben und daraus sich ergebende Überzeugu</w:t>
      </w:r>
      <w:r w:rsidR="00C25066">
        <w:rPr>
          <w:rFonts w:cstheme="minorHAnsi"/>
          <w:color w:val="000000"/>
          <w:sz w:val="24"/>
          <w:szCs w:val="24"/>
        </w:rPr>
        <w:t>n</w:t>
      </w:r>
      <w:r w:rsidRPr="00702ED8">
        <w:rPr>
          <w:rFonts w:cstheme="minorHAnsi"/>
          <w:color w:val="000000"/>
          <w:sz w:val="24"/>
          <w:szCs w:val="24"/>
        </w:rPr>
        <w:t>g</w:t>
      </w:r>
      <w:r w:rsidR="00C25066">
        <w:rPr>
          <w:rFonts w:cstheme="minorHAnsi"/>
          <w:color w:val="000000"/>
          <w:sz w:val="24"/>
          <w:szCs w:val="24"/>
        </w:rPr>
        <w:t>en der Menschen</w:t>
      </w:r>
      <w:r w:rsidRPr="00702ED8">
        <w:rPr>
          <w:rFonts w:cstheme="minorHAnsi"/>
          <w:color w:val="000000"/>
          <w:sz w:val="24"/>
          <w:szCs w:val="24"/>
        </w:rPr>
        <w:t>. Im Proze</w:t>
      </w:r>
      <w:r w:rsidR="00C25066">
        <w:rPr>
          <w:rFonts w:cstheme="minorHAnsi"/>
          <w:color w:val="000000"/>
          <w:sz w:val="24"/>
          <w:szCs w:val="24"/>
        </w:rPr>
        <w:t>ss,</w:t>
      </w:r>
      <w:r w:rsidRPr="00702ED8">
        <w:rPr>
          <w:rFonts w:cstheme="minorHAnsi"/>
          <w:color w:val="000000"/>
          <w:sz w:val="24"/>
          <w:szCs w:val="24"/>
        </w:rPr>
        <w:t xml:space="preserve"> der seit 1518 gegen Luther geführt wird, vermengt </w:t>
      </w:r>
      <w:r w:rsidR="00C25066">
        <w:rPr>
          <w:rFonts w:cstheme="minorHAnsi"/>
          <w:color w:val="000000"/>
          <w:sz w:val="24"/>
          <w:szCs w:val="24"/>
        </w:rPr>
        <w:t xml:space="preserve">sich nun </w:t>
      </w:r>
      <w:r w:rsidRPr="00702ED8">
        <w:rPr>
          <w:rFonts w:cstheme="minorHAnsi"/>
          <w:color w:val="000000"/>
          <w:sz w:val="24"/>
          <w:szCs w:val="24"/>
        </w:rPr>
        <w:t xml:space="preserve">beides miteinander: Luther </w:t>
      </w:r>
      <w:r w:rsidR="00C25066">
        <w:rPr>
          <w:rFonts w:cstheme="minorHAnsi"/>
          <w:color w:val="000000"/>
          <w:sz w:val="24"/>
          <w:szCs w:val="24"/>
        </w:rPr>
        <w:t>wird</w:t>
      </w:r>
      <w:r w:rsidRPr="00702ED8">
        <w:rPr>
          <w:rFonts w:cstheme="minorHAnsi"/>
          <w:color w:val="000000"/>
          <w:sz w:val="24"/>
          <w:szCs w:val="24"/>
        </w:rPr>
        <w:t xml:space="preserve"> wegen seiner theologischen Einstellungen, seines Glaubens willen </w:t>
      </w:r>
      <w:r w:rsidR="00C25066">
        <w:rPr>
          <w:rFonts w:cstheme="minorHAnsi"/>
          <w:color w:val="000000"/>
          <w:sz w:val="24"/>
          <w:szCs w:val="24"/>
        </w:rPr>
        <w:t xml:space="preserve">vom geistlichen Gericht </w:t>
      </w:r>
      <w:r w:rsidRPr="00702ED8">
        <w:rPr>
          <w:rFonts w:cstheme="minorHAnsi"/>
          <w:color w:val="000000"/>
          <w:sz w:val="24"/>
          <w:szCs w:val="24"/>
        </w:rPr>
        <w:t>angeklagt</w:t>
      </w:r>
      <w:r w:rsidR="00C25066">
        <w:rPr>
          <w:rFonts w:cstheme="minorHAnsi"/>
          <w:color w:val="000000"/>
          <w:sz w:val="24"/>
          <w:szCs w:val="24"/>
        </w:rPr>
        <w:t xml:space="preserve"> und soll dafür von der Obrigkeit in Gewahrsam und verurteilt </w:t>
      </w:r>
      <w:r w:rsidRPr="00702ED8">
        <w:rPr>
          <w:rFonts w:cstheme="minorHAnsi"/>
          <w:color w:val="000000"/>
          <w:sz w:val="24"/>
          <w:szCs w:val="24"/>
        </w:rPr>
        <w:t xml:space="preserve">werden. Dagegen setzt sich </w:t>
      </w:r>
      <w:r w:rsidR="00337ABA" w:rsidRPr="00337ABA">
        <w:rPr>
          <w:rFonts w:cstheme="minorHAnsi"/>
          <w:b/>
          <w:bCs/>
          <w:color w:val="000000"/>
          <w:sz w:val="24"/>
          <w:szCs w:val="24"/>
        </w:rPr>
        <w:t xml:space="preserve">Martin </w:t>
      </w:r>
      <w:r w:rsidRPr="00337ABA">
        <w:rPr>
          <w:rFonts w:cstheme="minorHAnsi"/>
          <w:b/>
          <w:bCs/>
          <w:color w:val="000000"/>
          <w:sz w:val="24"/>
          <w:szCs w:val="24"/>
        </w:rPr>
        <w:t xml:space="preserve">Luther </w:t>
      </w:r>
      <w:r w:rsidRPr="00702ED8">
        <w:rPr>
          <w:rFonts w:cstheme="minorHAnsi"/>
          <w:color w:val="000000"/>
          <w:sz w:val="24"/>
          <w:szCs w:val="24"/>
        </w:rPr>
        <w:t xml:space="preserve">in seiner Schrift </w:t>
      </w:r>
      <w:r w:rsidR="00337ABA">
        <w:rPr>
          <w:rFonts w:cstheme="minorHAnsi"/>
          <w:color w:val="000000"/>
          <w:sz w:val="24"/>
          <w:szCs w:val="24"/>
        </w:rPr>
        <w:t>„</w:t>
      </w:r>
      <w:r w:rsidRPr="00337ABA">
        <w:rPr>
          <w:b/>
          <w:bCs/>
          <w:sz w:val="24"/>
          <w:szCs w:val="24"/>
        </w:rPr>
        <w:t>Von weltlicher Obrigkeit, wie weit man ihr Gehorsam schuldig sei</w:t>
      </w:r>
      <w:r w:rsidRPr="00702ED8">
        <w:rPr>
          <w:sz w:val="24"/>
          <w:szCs w:val="24"/>
        </w:rPr>
        <w:t>“ (1523)</w:t>
      </w:r>
      <w:r>
        <w:rPr>
          <w:rStyle w:val="Funotenzeichen"/>
          <w:sz w:val="24"/>
          <w:szCs w:val="24"/>
        </w:rPr>
        <w:footnoteReference w:id="1"/>
      </w:r>
      <w:r>
        <w:rPr>
          <w:sz w:val="24"/>
          <w:szCs w:val="24"/>
        </w:rPr>
        <w:t xml:space="preserve"> auseinander:</w:t>
      </w:r>
    </w:p>
    <w:p w:rsidR="00702ED8" w:rsidRPr="00905D6D" w:rsidRDefault="00702ED8" w:rsidP="00C25066">
      <w:pPr>
        <w:pStyle w:val="StandardWeb"/>
        <w:shd w:val="clear" w:color="auto" w:fill="F2F2F2" w:themeFill="background1" w:themeFillShade="F2"/>
        <w:spacing w:before="96" w:beforeAutospacing="0" w:after="96" w:afterAutospacing="0"/>
        <w:ind w:firstLine="192"/>
        <w:jc w:val="both"/>
        <w:rPr>
          <w:rFonts w:asciiTheme="minorHAnsi" w:hAnsiTheme="minorHAnsi" w:cstheme="minorHAnsi"/>
          <w:color w:val="000000"/>
        </w:rPr>
      </w:pPr>
      <w:r w:rsidRPr="00905D6D">
        <w:rPr>
          <w:rFonts w:asciiTheme="minorHAnsi" w:hAnsiTheme="minorHAnsi" w:cstheme="minorHAnsi"/>
          <w:color w:val="000000"/>
        </w:rPr>
        <w:t>Aufs erste müssen wir das weltliche Recht und Schwert gut begründen, daß nicht jemand daran zweifle, es sei durch Gottes Willen und Ordnung in der Welt. Die Sprüche aber, die sie begründen, sind diese: R</w:t>
      </w:r>
      <w:r w:rsidR="009102FE">
        <w:rPr>
          <w:rFonts w:asciiTheme="minorHAnsi" w:hAnsiTheme="minorHAnsi" w:cstheme="minorHAnsi"/>
          <w:color w:val="000000"/>
        </w:rPr>
        <w:t>öm</w:t>
      </w:r>
      <w:r w:rsidRPr="00905D6D">
        <w:rPr>
          <w:rFonts w:asciiTheme="minorHAnsi" w:hAnsiTheme="minorHAnsi" w:cstheme="minorHAnsi"/>
          <w:color w:val="000000"/>
        </w:rPr>
        <w:t xml:space="preserve"> 13,1–2: »Jedermann sei Untertan der Obrigkeit, die Gewalt über ihn hat. Denn es ist keine Obrigkeit ohne von Gott; wo aber Obrigkeit ist, die ist von Gott verordnet. Wer sich nun der Obrigkeit widersetzt, der widerstrebt Gottes Ordnung; die aber widerstreben, werden über sich ein Urteil empfangen«, ferner 1. Petr 2, 13–14: »Seid Untertan aller menschlichen Ordnung, es sei dem König, als dem Obersten, oder den Statthaltern, als die von ihm gesandt sind zur Strafe für die Übeltäter und zu Lobe den Rechtschaffenen.«</w:t>
      </w:r>
    </w:p>
    <w:p w:rsidR="00702ED8" w:rsidRDefault="00702ED8" w:rsidP="00C25066">
      <w:pPr>
        <w:pStyle w:val="StandardWeb"/>
        <w:shd w:val="clear" w:color="auto" w:fill="F2F2F2" w:themeFill="background1" w:themeFillShade="F2"/>
        <w:spacing w:before="96" w:beforeAutospacing="0" w:after="96" w:afterAutospacing="0"/>
        <w:ind w:firstLine="192"/>
        <w:jc w:val="both"/>
        <w:rPr>
          <w:rFonts w:asciiTheme="minorHAnsi" w:hAnsiTheme="minorHAnsi" w:cstheme="minorHAnsi"/>
          <w:color w:val="000000"/>
        </w:rPr>
      </w:pPr>
      <w:r w:rsidRPr="00905D6D">
        <w:rPr>
          <w:rFonts w:asciiTheme="minorHAnsi" w:hAnsiTheme="minorHAnsi" w:cstheme="minorHAnsi"/>
          <w:color w:val="000000"/>
        </w:rPr>
        <w:t>Auch ist das Recht dieses Schwertes von Anfang der Welt an gewesen. Denn da Kain seinen Bruder Abel erschlug, fürchtete er sich so sehr, man würde ihn wieder töten, da</w:t>
      </w:r>
      <w:r w:rsidR="00FF21B6">
        <w:rPr>
          <w:rFonts w:asciiTheme="minorHAnsi" w:hAnsiTheme="minorHAnsi" w:cstheme="minorHAnsi"/>
          <w:color w:val="000000"/>
        </w:rPr>
        <w:t>ss</w:t>
      </w:r>
      <w:r w:rsidRPr="00905D6D">
        <w:rPr>
          <w:rFonts w:asciiTheme="minorHAnsi" w:hAnsiTheme="minorHAnsi" w:cstheme="minorHAnsi"/>
          <w:color w:val="000000"/>
        </w:rPr>
        <w:t xml:space="preserve"> Gott ein besonderes Verbot darauf legte und das Schwert um seinetwillen aufhob und niemand ihn töten sollte (1. Mose 4, 14 f.). Diese Furcht hätte er nicht gehabt, wenn er nicht von Adam gesehen und gehört hätte, daß man die Mörder töten sollte. Darüber hinaus hats Gott mit ausdrücklichen Worten nach der Sintflut wiederum eingesetzt und bestätigt, da er 1. Mose 9, 6 sagt: »Wer Menschenblut vergießt, dessen Blut soll auch durch Menschen vergossen werden.« Das kann nicht als eine von Gott über die Mörder verhängte Plage und Strafe verstanden werden. Denn viele Mörder bleiben durch Buße oder Gunst lebendig und sterben nicht durchs Schwert. Sondern es wird vom Recht des Schwertes gesagt: daß (danach) ein Mörder des Todes schuldig ist und man ihn mit Recht durchs Schwert töten solle. Wenn nun das Recht verhindert oder das Schwert säumig </w:t>
      </w:r>
      <w:r w:rsidRPr="00905D6D">
        <w:rPr>
          <w:rFonts w:asciiTheme="minorHAnsi" w:hAnsiTheme="minorHAnsi" w:cstheme="minorHAnsi"/>
          <w:color w:val="000000"/>
        </w:rPr>
        <w:lastRenderedPageBreak/>
        <w:t>sein würde, so daß der Mörder eines natürlichen Todes stirbt, ist deshalb die Schrift nicht falsch, wenn sie sagt: Wer Menschenblut vergießt, des Blut soll durch Menschen vergossen werden. Denn es ist der Menschen Schuld oder Verdienst, daß solch Recht, von Gott befohlen, nicht ausgerichtet wird, sowie auch andere Gebote Gottes übertreten werden.</w:t>
      </w:r>
    </w:p>
    <w:p w:rsidR="00702ED8" w:rsidRDefault="00702ED8" w:rsidP="00702ED8">
      <w:pPr>
        <w:pStyle w:val="StandardWeb"/>
        <w:spacing w:before="96" w:beforeAutospacing="0" w:after="96" w:afterAutospacing="0"/>
        <w:ind w:firstLine="192"/>
        <w:jc w:val="both"/>
        <w:rPr>
          <w:rFonts w:asciiTheme="minorHAnsi" w:hAnsiTheme="minorHAnsi" w:cstheme="minorHAnsi"/>
          <w:color w:val="000000"/>
        </w:rPr>
      </w:pPr>
    </w:p>
    <w:p w:rsidR="00702ED8" w:rsidRDefault="00702ED8" w:rsidP="00702ED8">
      <w:pPr>
        <w:pStyle w:val="StandardWeb"/>
        <w:spacing w:before="96" w:beforeAutospacing="0" w:after="96" w:afterAutospacing="0"/>
        <w:ind w:firstLine="192"/>
        <w:jc w:val="both"/>
        <w:rPr>
          <w:rFonts w:asciiTheme="minorHAnsi" w:hAnsiTheme="minorHAnsi" w:cstheme="minorHAnsi"/>
          <w:color w:val="000000"/>
        </w:rPr>
      </w:pPr>
      <w:r w:rsidRPr="00702ED8">
        <w:rPr>
          <w:rFonts w:asciiTheme="minorHAnsi" w:hAnsiTheme="minorHAnsi" w:cstheme="minorHAnsi"/>
          <w:b/>
          <w:bCs/>
          <w:color w:val="000000"/>
        </w:rPr>
        <w:t>Arbeitsaufgaben</w:t>
      </w:r>
      <w:r>
        <w:rPr>
          <w:rFonts w:asciiTheme="minorHAnsi" w:hAnsiTheme="minorHAnsi" w:cstheme="minorHAnsi"/>
          <w:color w:val="000000"/>
        </w:rPr>
        <w:t>:</w:t>
      </w:r>
    </w:p>
    <w:p w:rsidR="00702ED8" w:rsidRDefault="00702ED8" w:rsidP="00702ED8">
      <w:pPr>
        <w:pStyle w:val="StandardWeb"/>
        <w:numPr>
          <w:ilvl w:val="0"/>
          <w:numId w:val="1"/>
        </w:numPr>
        <w:spacing w:before="96" w:beforeAutospacing="0" w:after="96" w:afterAutospacing="0"/>
        <w:jc w:val="both"/>
        <w:rPr>
          <w:rFonts w:asciiTheme="minorHAnsi" w:hAnsiTheme="minorHAnsi" w:cstheme="minorHAnsi"/>
          <w:color w:val="000000"/>
        </w:rPr>
      </w:pPr>
      <w:r>
        <w:rPr>
          <w:rFonts w:asciiTheme="minorHAnsi" w:hAnsiTheme="minorHAnsi" w:cstheme="minorHAnsi"/>
          <w:color w:val="000000"/>
        </w:rPr>
        <w:t xml:space="preserve">Bei Luther ist das Wesen der „Obrigkeit“ in der Formulierung „Recht und Schwert“ zusammengefasst. Erläutern Sie die Begriff „Schwert“ (Art. Schwert: </w:t>
      </w:r>
      <w:hyperlink r:id="rId9" w:history="1">
        <w:r>
          <w:rPr>
            <w:rStyle w:val="Hyperlink"/>
          </w:rPr>
          <w:t>https://de.wikisource.org/wiki/Christliche_Symbolik/Schwert</w:t>
        </w:r>
      </w:hyperlink>
      <w:r>
        <w:t xml:space="preserve"> )</w:t>
      </w:r>
      <w:r>
        <w:rPr>
          <w:rFonts w:asciiTheme="minorHAnsi" w:hAnsiTheme="minorHAnsi" w:cstheme="minorHAnsi"/>
          <w:color w:val="000000"/>
        </w:rPr>
        <w:t xml:space="preserve"> und „Obrigkeit“ (Art. Obrigkeit: </w:t>
      </w:r>
      <w:hyperlink r:id="rId10" w:history="1">
        <w:r w:rsidRPr="00E339E0">
          <w:rPr>
            <w:rStyle w:val="Hyperlink"/>
          </w:rPr>
          <w:t>https://hls-dhs-dss.ch/de/articles/028734/2009-08-24/</w:t>
        </w:r>
      </w:hyperlink>
      <w:r>
        <w:t xml:space="preserve"> )</w:t>
      </w:r>
      <w:r>
        <w:rPr>
          <w:rFonts w:asciiTheme="minorHAnsi" w:hAnsiTheme="minorHAnsi" w:cstheme="minorHAnsi"/>
          <w:color w:val="000000"/>
        </w:rPr>
        <w:t xml:space="preserve">. Ziehen Sie die Erklärtexte dazu heran. </w:t>
      </w:r>
    </w:p>
    <w:p w:rsidR="00702ED8" w:rsidRDefault="00702ED8" w:rsidP="00702ED8">
      <w:pPr>
        <w:pStyle w:val="StandardWeb"/>
        <w:numPr>
          <w:ilvl w:val="0"/>
          <w:numId w:val="1"/>
        </w:numPr>
        <w:spacing w:before="96" w:beforeAutospacing="0" w:after="96" w:afterAutospacing="0"/>
        <w:jc w:val="both"/>
        <w:rPr>
          <w:rFonts w:asciiTheme="minorHAnsi" w:hAnsiTheme="minorHAnsi" w:cstheme="minorHAnsi"/>
          <w:color w:val="000000"/>
        </w:rPr>
      </w:pPr>
      <w:r>
        <w:rPr>
          <w:rFonts w:asciiTheme="minorHAnsi" w:hAnsiTheme="minorHAnsi" w:cstheme="minorHAnsi"/>
          <w:color w:val="000000"/>
        </w:rPr>
        <w:t>Erläutern Sie die theologischen Gründe, die Luther benennt, damit „die Obrigkeit“ ihre Aufgabe ausübt.</w:t>
      </w:r>
    </w:p>
    <w:p w:rsidR="00262F2F" w:rsidRDefault="00262F2F" w:rsidP="00702ED8">
      <w:pPr>
        <w:pStyle w:val="StandardWeb"/>
        <w:numPr>
          <w:ilvl w:val="0"/>
          <w:numId w:val="1"/>
        </w:numPr>
        <w:spacing w:before="96" w:beforeAutospacing="0" w:after="96" w:afterAutospacing="0"/>
        <w:jc w:val="both"/>
        <w:rPr>
          <w:rFonts w:asciiTheme="minorHAnsi" w:hAnsiTheme="minorHAnsi" w:cstheme="minorHAnsi"/>
          <w:color w:val="000000"/>
        </w:rPr>
      </w:pPr>
      <w:r>
        <w:rPr>
          <w:rFonts w:asciiTheme="minorHAnsi" w:hAnsiTheme="minorHAnsi" w:cstheme="minorHAnsi"/>
          <w:color w:val="000000"/>
        </w:rPr>
        <w:t>Formulieren Sie den Umgang mit der „Obrigkeit“ (Staat?)</w:t>
      </w:r>
      <w:bookmarkStart w:id="0" w:name="_GoBack"/>
      <w:bookmarkEnd w:id="0"/>
      <w:r>
        <w:rPr>
          <w:rFonts w:asciiTheme="minorHAnsi" w:hAnsiTheme="minorHAnsi" w:cstheme="minorHAnsi"/>
          <w:color w:val="000000"/>
        </w:rPr>
        <w:t xml:space="preserve"> unter demokratischen Bedingungen.</w:t>
      </w:r>
    </w:p>
    <w:p w:rsidR="00C25066" w:rsidRDefault="00C25066" w:rsidP="00702ED8">
      <w:pPr>
        <w:pStyle w:val="StandardWeb"/>
        <w:spacing w:before="96" w:beforeAutospacing="0" w:after="96" w:afterAutospacing="0"/>
        <w:ind w:left="192"/>
        <w:jc w:val="both"/>
        <w:rPr>
          <w:rFonts w:asciiTheme="minorHAnsi" w:hAnsiTheme="minorHAnsi" w:cstheme="minorHAnsi"/>
          <w:color w:val="000000"/>
        </w:rPr>
      </w:pPr>
    </w:p>
    <w:p w:rsidR="00702ED8" w:rsidRDefault="00C25066" w:rsidP="00A7634C">
      <w:pPr>
        <w:pStyle w:val="StandardWeb"/>
        <w:spacing w:before="96" w:beforeAutospacing="0" w:after="96" w:afterAutospacing="0"/>
        <w:jc w:val="both"/>
        <w:rPr>
          <w:rFonts w:asciiTheme="minorHAnsi" w:hAnsiTheme="minorHAnsi" w:cstheme="minorHAnsi"/>
          <w:color w:val="000000"/>
        </w:rPr>
      </w:pPr>
      <w:r>
        <w:rPr>
          <w:rFonts w:asciiTheme="minorHAnsi" w:hAnsiTheme="minorHAnsi" w:cstheme="minorHAnsi"/>
          <w:color w:val="000000"/>
        </w:rPr>
        <w:t>Aber wie kann das „führen des Schwertes zusammengehen mit den Worten Jesu, die doch zu völliger Gewaltlosigkeit aufrufen? Luther löst es folgendermaßen:</w:t>
      </w:r>
    </w:p>
    <w:p w:rsidR="00702ED8" w:rsidRPr="00702ED8" w:rsidRDefault="00702ED8" w:rsidP="00A7634C">
      <w:pPr>
        <w:pStyle w:val="StandardWeb"/>
        <w:shd w:val="clear" w:color="auto" w:fill="F2F2F2" w:themeFill="background1" w:themeFillShade="F2"/>
        <w:spacing w:before="96" w:after="96"/>
        <w:jc w:val="both"/>
        <w:rPr>
          <w:rFonts w:asciiTheme="minorHAnsi" w:hAnsiTheme="minorHAnsi" w:cstheme="minorHAnsi"/>
          <w:color w:val="000000"/>
        </w:rPr>
      </w:pPr>
      <w:r w:rsidRPr="00702ED8">
        <w:rPr>
          <w:rFonts w:asciiTheme="minorHAnsi" w:hAnsiTheme="minorHAnsi" w:cstheme="minorHAnsi"/>
          <w:color w:val="000000"/>
        </w:rPr>
        <w:t>Aus diesem allen ergibt sich nun, welches das rechte Verständnis der Worte Christi Matth. 5, 39 sei: »Ihr sollt dem Übel nicht widerstreben« usw. Nämlich das, daß ein Christ so beschaffen sein soll, daß er alles Übel und Unrecht leide, sich nicht selbst räche, sich auch nicht vor Gericht schütze, sondern daß er in allen Dingen der weltlichen Gewalt und des Rechts für sich selbst nicht bedürfe. Aber für andere kann und soll er Rache, Recht, Schutz und Hilfe suchen und dazu tun, was und womit er kann. Ebenso soll ihm auch die Gewalt, entweder von selbst oder auf Anregen anderer, ohne seine eigene Klage, Suchen und Anregen helfen und ihn schützen. Wo sie das nicht tut, soll er sich schinden und schänden lassen und keinem Übel widerstehen, wie Christi Worte lauten.</w:t>
      </w:r>
    </w:p>
    <w:p w:rsidR="00A7634C" w:rsidRPr="00905D6D" w:rsidRDefault="00A7634C" w:rsidP="00A7634C">
      <w:pPr>
        <w:pStyle w:val="StandardWeb"/>
        <w:shd w:val="clear" w:color="auto" w:fill="F2F2F2" w:themeFill="background1" w:themeFillShade="F2"/>
        <w:spacing w:before="96" w:beforeAutospacing="0" w:after="96" w:afterAutospacing="0"/>
        <w:ind w:firstLine="192"/>
        <w:jc w:val="both"/>
        <w:rPr>
          <w:rFonts w:asciiTheme="minorHAnsi" w:hAnsiTheme="minorHAnsi" w:cstheme="minorHAnsi"/>
          <w:color w:val="000000"/>
        </w:rPr>
      </w:pPr>
      <w:r w:rsidRPr="00905D6D">
        <w:rPr>
          <w:rFonts w:asciiTheme="minorHAnsi" w:hAnsiTheme="minorHAnsi" w:cstheme="minorHAnsi"/>
          <w:color w:val="000000"/>
        </w:rPr>
        <w:t>Hier fragst du weiter, ob denn auch die Büttel, Henker, Juristen, Anwälte, und was zu deren Gehilfen gehört, Christen sein können und einen seligen Stand haben? Antwort; Wenn die Gewalt und das Schwert ein Gottesdienst ist, wie oben erwiesen ist, so muß auch das alles Gottesdienst sein, was der Gewalt nötig ist, um das Schwert zu führen. Es muß ja einer sein, der die Bösen fängt, verklagt, erwürgt und umbringt, die Guten schützt, entschuldigt, verteidigt und errettet. Darum, wenn sie es in der Absicht tun, daß sie nicht sich selbst drinnen suchen, sondern nur das Recht und die Gewalt handhaben helfen, womit die Bösen bezwungen werden, ists für sie ohne Gefahr, und sie könnens brauchen, wie ein anderer ein anderes Handwerk, und sich davon ernähren. Denn, wie gesagt ist, Liebe zum Nächsten achtet nicht ihr Eigenes, sieht auch nicht, wie groß oder gering, sondern wie nützlich und notwendig die Werke dem Nächsten oder der Gemeinde seien.</w:t>
      </w:r>
    </w:p>
    <w:p w:rsidR="00337ABA" w:rsidRDefault="00337ABA" w:rsidP="00A7634C">
      <w:pPr>
        <w:pStyle w:val="StandardWeb"/>
        <w:spacing w:before="96" w:after="96"/>
        <w:jc w:val="both"/>
        <w:rPr>
          <w:rFonts w:asciiTheme="minorHAnsi" w:hAnsiTheme="minorHAnsi" w:cstheme="minorHAnsi"/>
          <w:color w:val="000000"/>
        </w:rPr>
      </w:pPr>
      <w:r>
        <w:rPr>
          <w:rFonts w:asciiTheme="minorHAnsi" w:hAnsiTheme="minorHAnsi" w:cstheme="minorHAnsi"/>
          <w:color w:val="000000"/>
        </w:rPr>
        <w:t>Arbeitsaufgabe</w:t>
      </w:r>
    </w:p>
    <w:p w:rsidR="00337ABA" w:rsidRDefault="00337ABA" w:rsidP="00337ABA">
      <w:pPr>
        <w:pStyle w:val="StandardWeb"/>
        <w:numPr>
          <w:ilvl w:val="0"/>
          <w:numId w:val="2"/>
        </w:numPr>
        <w:spacing w:before="96" w:after="96"/>
        <w:jc w:val="both"/>
        <w:rPr>
          <w:rFonts w:asciiTheme="minorHAnsi" w:hAnsiTheme="minorHAnsi" w:cstheme="minorHAnsi"/>
          <w:color w:val="000000"/>
        </w:rPr>
      </w:pPr>
      <w:r>
        <w:rPr>
          <w:rFonts w:asciiTheme="minorHAnsi" w:hAnsiTheme="minorHAnsi" w:cstheme="minorHAnsi"/>
          <w:color w:val="000000"/>
        </w:rPr>
        <w:t xml:space="preserve">Erläutern Sie die Argumentation Luthers für den persönlichen Umgang eines Christen als Privatperson und als öffentliche mit der Gewalt dar.  </w:t>
      </w:r>
    </w:p>
    <w:p w:rsidR="00337ABA" w:rsidRDefault="00337ABA" w:rsidP="00337ABA">
      <w:pPr>
        <w:pStyle w:val="StandardWeb"/>
        <w:numPr>
          <w:ilvl w:val="0"/>
          <w:numId w:val="2"/>
        </w:numPr>
        <w:spacing w:before="96" w:after="96"/>
        <w:jc w:val="both"/>
        <w:rPr>
          <w:rFonts w:asciiTheme="minorHAnsi" w:hAnsiTheme="minorHAnsi" w:cstheme="minorHAnsi"/>
          <w:color w:val="000000"/>
        </w:rPr>
      </w:pPr>
      <w:r>
        <w:rPr>
          <w:rFonts w:asciiTheme="minorHAnsi" w:hAnsiTheme="minorHAnsi" w:cstheme="minorHAnsi"/>
          <w:color w:val="000000"/>
        </w:rPr>
        <w:t>Nehmen Sie Stellung zu dieser Unterscheidung.</w:t>
      </w:r>
    </w:p>
    <w:p w:rsidR="00702ED8" w:rsidRDefault="00A7634C" w:rsidP="00A7634C">
      <w:pPr>
        <w:pStyle w:val="StandardWeb"/>
        <w:spacing w:before="96" w:after="96"/>
        <w:jc w:val="both"/>
        <w:rPr>
          <w:rFonts w:asciiTheme="minorHAnsi" w:hAnsiTheme="minorHAnsi" w:cstheme="minorHAnsi"/>
          <w:color w:val="000000"/>
        </w:rPr>
      </w:pPr>
      <w:r>
        <w:rPr>
          <w:rFonts w:asciiTheme="minorHAnsi" w:hAnsiTheme="minorHAnsi" w:cstheme="minorHAnsi"/>
          <w:color w:val="000000"/>
        </w:rPr>
        <w:t>Wo aber verläuft die Grenze der Zuständigkeit, die die „Obrigkeit nicht überschreiten darf? Oder wie weit darf der Arm des Gesetzes reichen?</w:t>
      </w:r>
    </w:p>
    <w:p w:rsidR="00A7634C" w:rsidRDefault="00A7634C" w:rsidP="00A7634C">
      <w:pPr>
        <w:pStyle w:val="StandardWeb"/>
        <w:shd w:val="clear" w:color="auto" w:fill="F2F2F2" w:themeFill="background1" w:themeFillShade="F2"/>
        <w:spacing w:before="96" w:beforeAutospacing="0" w:after="96" w:afterAutospacing="0"/>
        <w:ind w:firstLine="192"/>
        <w:jc w:val="both"/>
        <w:rPr>
          <w:rFonts w:asciiTheme="minorHAnsi" w:hAnsiTheme="minorHAnsi" w:cstheme="minorHAnsi"/>
          <w:color w:val="000000"/>
        </w:rPr>
      </w:pPr>
      <w:r>
        <w:rPr>
          <w:rFonts w:asciiTheme="minorHAnsi" w:hAnsiTheme="minorHAnsi" w:cstheme="minorHAnsi"/>
          <w:color w:val="000000"/>
        </w:rPr>
        <w:lastRenderedPageBreak/>
        <w:t>Nun müssen wir</w:t>
      </w:r>
      <w:r w:rsidRPr="00905D6D">
        <w:rPr>
          <w:rFonts w:asciiTheme="minorHAnsi" w:hAnsiTheme="minorHAnsi" w:cstheme="minorHAnsi"/>
          <w:color w:val="000000"/>
        </w:rPr>
        <w:t xml:space="preserve"> nun lernen, wie lang </w:t>
      </w:r>
      <w:r>
        <w:rPr>
          <w:rFonts w:asciiTheme="minorHAnsi" w:hAnsiTheme="minorHAnsi" w:cstheme="minorHAnsi"/>
          <w:color w:val="000000"/>
        </w:rPr>
        <w:t>der</w:t>
      </w:r>
      <w:r w:rsidRPr="00905D6D">
        <w:rPr>
          <w:rFonts w:asciiTheme="minorHAnsi" w:hAnsiTheme="minorHAnsi" w:cstheme="minorHAnsi"/>
          <w:color w:val="000000"/>
        </w:rPr>
        <w:t xml:space="preserve"> Arm </w:t>
      </w:r>
      <w:r>
        <w:rPr>
          <w:rFonts w:asciiTheme="minorHAnsi" w:hAnsiTheme="minorHAnsi" w:cstheme="minorHAnsi"/>
          <w:color w:val="000000"/>
        </w:rPr>
        <w:t xml:space="preserve">der Obrigkeit sei </w:t>
      </w:r>
      <w:r w:rsidRPr="00905D6D">
        <w:rPr>
          <w:rFonts w:asciiTheme="minorHAnsi" w:hAnsiTheme="minorHAnsi" w:cstheme="minorHAnsi"/>
          <w:color w:val="000000"/>
        </w:rPr>
        <w:t xml:space="preserve">und wie weit ihre Hand reiche, daß sie sich nicht zu weit erstrecke und Gott in sein Reich und Regiment greife. Und das ist sehr notwendig zu wissen. Denn unerträglicher und greulicher Schaden folgt daraus, wo man ihr zu weit Raum gibt, und es ist auch nicht ohne Schaden, wo sie zu eng gespannt ist. Hier straft sie zu wenig, dort straft sie zu viel. </w:t>
      </w:r>
    </w:p>
    <w:p w:rsidR="00A7634C" w:rsidRDefault="00A7634C" w:rsidP="00A7634C">
      <w:pPr>
        <w:pStyle w:val="StandardWeb"/>
        <w:shd w:val="clear" w:color="auto" w:fill="F2F2F2" w:themeFill="background1" w:themeFillShade="F2"/>
        <w:spacing w:before="96" w:beforeAutospacing="0" w:after="96" w:afterAutospacing="0"/>
        <w:ind w:firstLine="192"/>
        <w:jc w:val="both"/>
        <w:rPr>
          <w:rFonts w:asciiTheme="minorHAnsi" w:hAnsiTheme="minorHAnsi" w:cstheme="minorHAnsi"/>
          <w:color w:val="000000"/>
        </w:rPr>
      </w:pPr>
      <w:r w:rsidRPr="00905D6D">
        <w:rPr>
          <w:rFonts w:asciiTheme="minorHAnsi" w:hAnsiTheme="minorHAnsi" w:cstheme="minorHAnsi"/>
          <w:color w:val="000000"/>
        </w:rPr>
        <w:t>Aufs erste ist zu merken, daß die zwei Teile Adamskinder, deren einer in Gottes Reich unter Christus, deren anderer in der Welt Reich unter der Obrigkeit ist, zweierlei Gesetz haben</w:t>
      </w:r>
      <w:r>
        <w:rPr>
          <w:rFonts w:asciiTheme="minorHAnsi" w:hAnsiTheme="minorHAnsi" w:cstheme="minorHAnsi"/>
          <w:color w:val="000000"/>
        </w:rPr>
        <w:t xml:space="preserve">. </w:t>
      </w:r>
      <w:r w:rsidRPr="00905D6D">
        <w:rPr>
          <w:rFonts w:asciiTheme="minorHAnsi" w:hAnsiTheme="minorHAnsi" w:cstheme="minorHAnsi"/>
          <w:color w:val="000000"/>
        </w:rPr>
        <w:t>Das weltliche Regiment hat Gesetze, die sich nicht weiter erstrecken als über Leib und Gut und was äußerlich auf Erden ist. Denn über die Seele kann und will Gott niemand regieren lassen als sich selbst allein. Deshalb: wo weltliche Gewalt sich vermi</w:t>
      </w:r>
      <w:r>
        <w:rPr>
          <w:rFonts w:asciiTheme="minorHAnsi" w:hAnsiTheme="minorHAnsi" w:cstheme="minorHAnsi"/>
          <w:color w:val="000000"/>
        </w:rPr>
        <w:t>ss</w:t>
      </w:r>
      <w:r w:rsidRPr="00905D6D">
        <w:rPr>
          <w:rFonts w:asciiTheme="minorHAnsi" w:hAnsiTheme="minorHAnsi" w:cstheme="minorHAnsi"/>
          <w:color w:val="000000"/>
        </w:rPr>
        <w:t>t, der Seele Gesetze zu geben, da greift sie Gott in sein Regiment und verführt und verdirbt nur die Seelen. Das wollen wir so klar machen, daß mans mit Händen greifen solle, auf daß unsere Junker, die Fürsten und Bischöfe sehen, was sie für Narren sind, wenn sie die Menschen mit ihren Gesetzen und Geboten zwingen wollen, so oder so zu glauben.</w:t>
      </w:r>
    </w:p>
    <w:p w:rsidR="00A7634C" w:rsidRDefault="00A7634C" w:rsidP="00A7634C">
      <w:pPr>
        <w:pStyle w:val="StandardWeb"/>
        <w:shd w:val="clear" w:color="auto" w:fill="F2F2F2" w:themeFill="background1" w:themeFillShade="F2"/>
        <w:spacing w:before="96" w:beforeAutospacing="0" w:after="96" w:afterAutospacing="0"/>
        <w:ind w:firstLine="192"/>
        <w:jc w:val="both"/>
        <w:rPr>
          <w:rFonts w:asciiTheme="minorHAnsi" w:hAnsiTheme="minorHAnsi" w:cstheme="minorHAnsi"/>
          <w:color w:val="000000"/>
        </w:rPr>
      </w:pPr>
      <w:r>
        <w:rPr>
          <w:rFonts w:asciiTheme="minorHAnsi" w:hAnsiTheme="minorHAnsi" w:cstheme="minorHAnsi"/>
          <w:color w:val="000000"/>
        </w:rPr>
        <w:t>E</w:t>
      </w:r>
      <w:r w:rsidRPr="00905D6D">
        <w:rPr>
          <w:rFonts w:asciiTheme="minorHAnsi" w:hAnsiTheme="minorHAnsi" w:cstheme="minorHAnsi"/>
          <w:color w:val="000000"/>
        </w:rPr>
        <w:t xml:space="preserve">ine jegliche Gewalt </w:t>
      </w:r>
      <w:r>
        <w:rPr>
          <w:rFonts w:asciiTheme="minorHAnsi" w:hAnsiTheme="minorHAnsi" w:cstheme="minorHAnsi"/>
          <w:color w:val="000000"/>
        </w:rPr>
        <w:t xml:space="preserve">kann und soll </w:t>
      </w:r>
      <w:r w:rsidRPr="00905D6D">
        <w:rPr>
          <w:rFonts w:asciiTheme="minorHAnsi" w:hAnsiTheme="minorHAnsi" w:cstheme="minorHAnsi"/>
          <w:color w:val="000000"/>
        </w:rPr>
        <w:t>nur da handeln, wo sie sehen erkennen, richten, urteilen, wandeln und ändern kann. Denn was wäre mir das für ein Richter, der blindlings die Sachen richten wollte, die er weder hört noch sieht? Nun sage mir, wie kann ein Mensch die Herzen sehen, erkennen, richten, beurteilen und ändern? Denn solches ist allein Gott vorbehalten</w:t>
      </w:r>
    </w:p>
    <w:p w:rsidR="00A7634C" w:rsidRDefault="00337ABA" w:rsidP="00711080">
      <w:pPr>
        <w:pStyle w:val="StandardWeb"/>
        <w:shd w:val="clear" w:color="auto" w:fill="FFFFFF" w:themeFill="background1"/>
        <w:spacing w:before="96" w:beforeAutospacing="0" w:after="96" w:afterAutospacing="0"/>
        <w:ind w:firstLine="192"/>
        <w:jc w:val="both"/>
        <w:rPr>
          <w:rFonts w:asciiTheme="minorHAnsi" w:hAnsiTheme="minorHAnsi" w:cstheme="minorHAnsi"/>
          <w:color w:val="000000"/>
        </w:rPr>
      </w:pPr>
      <w:r>
        <w:rPr>
          <w:rFonts w:asciiTheme="minorHAnsi" w:hAnsiTheme="minorHAnsi" w:cstheme="minorHAnsi"/>
          <w:color w:val="000000"/>
        </w:rPr>
        <w:t>Arbeitsaufgabe</w:t>
      </w:r>
    </w:p>
    <w:p w:rsidR="00337ABA" w:rsidRDefault="00337ABA" w:rsidP="00337ABA">
      <w:pPr>
        <w:pStyle w:val="StandardWeb"/>
        <w:numPr>
          <w:ilvl w:val="0"/>
          <w:numId w:val="3"/>
        </w:numPr>
        <w:shd w:val="clear" w:color="auto" w:fill="FFFFFF" w:themeFill="background1"/>
        <w:spacing w:before="96" w:beforeAutospacing="0" w:after="96" w:afterAutospacing="0"/>
        <w:jc w:val="both"/>
        <w:rPr>
          <w:rFonts w:asciiTheme="minorHAnsi" w:hAnsiTheme="minorHAnsi" w:cstheme="minorHAnsi"/>
          <w:color w:val="000000"/>
        </w:rPr>
      </w:pPr>
      <w:r>
        <w:rPr>
          <w:rFonts w:asciiTheme="minorHAnsi" w:hAnsiTheme="minorHAnsi" w:cstheme="minorHAnsi"/>
          <w:color w:val="000000"/>
        </w:rPr>
        <w:t xml:space="preserve">Erläutern sie die Reichweite des Gewaltmonopols des Staates. </w:t>
      </w:r>
    </w:p>
    <w:p w:rsidR="00337ABA" w:rsidRDefault="00337ABA" w:rsidP="00337ABA">
      <w:pPr>
        <w:pStyle w:val="StandardWeb"/>
        <w:numPr>
          <w:ilvl w:val="0"/>
          <w:numId w:val="3"/>
        </w:numPr>
        <w:shd w:val="clear" w:color="auto" w:fill="FFFFFF" w:themeFill="background1"/>
        <w:spacing w:before="96" w:beforeAutospacing="0" w:after="96" w:afterAutospacing="0"/>
        <w:jc w:val="both"/>
        <w:rPr>
          <w:rFonts w:asciiTheme="minorHAnsi" w:hAnsiTheme="minorHAnsi" w:cstheme="minorHAnsi"/>
          <w:color w:val="000000"/>
        </w:rPr>
      </w:pPr>
      <w:r>
        <w:rPr>
          <w:rFonts w:asciiTheme="minorHAnsi" w:hAnsiTheme="minorHAnsi" w:cstheme="minorHAnsi"/>
          <w:color w:val="000000"/>
        </w:rPr>
        <w:t>Formulieren sie die Gründe für die Begrenzung. Nehmen Sie Stellung auf dem Hintergrund des Vordringens theokratischer und autokratischer Staaten.</w:t>
      </w:r>
    </w:p>
    <w:p w:rsidR="00A7634C" w:rsidRDefault="00711080" w:rsidP="00711080">
      <w:pPr>
        <w:pStyle w:val="StandardWeb"/>
        <w:shd w:val="clear" w:color="auto" w:fill="FFFFFF" w:themeFill="background1"/>
        <w:spacing w:before="96" w:beforeAutospacing="0" w:after="96" w:afterAutospacing="0"/>
        <w:ind w:firstLine="192"/>
        <w:jc w:val="both"/>
        <w:rPr>
          <w:rFonts w:asciiTheme="minorHAnsi" w:hAnsiTheme="minorHAnsi" w:cstheme="minorHAnsi"/>
          <w:color w:val="000000"/>
        </w:rPr>
      </w:pPr>
      <w:r>
        <w:rPr>
          <w:rFonts w:asciiTheme="minorHAnsi" w:hAnsiTheme="minorHAnsi" w:cstheme="minorHAnsi"/>
          <w:color w:val="000000"/>
        </w:rPr>
        <w:t>Wie aber sollen nun die sogenannten christlichen Fürsten handeln? Kommen sie nicht fortwährend in den Konflikt mit dem Gebot  seinen Nächsten zu lieben?</w:t>
      </w:r>
    </w:p>
    <w:p w:rsidR="00711080" w:rsidRPr="00905D6D" w:rsidRDefault="00711080" w:rsidP="00711080">
      <w:pPr>
        <w:shd w:val="clear" w:color="auto" w:fill="F2F2F2" w:themeFill="background1" w:themeFillShade="F2"/>
        <w:spacing w:before="96" w:after="96" w:line="240" w:lineRule="auto"/>
        <w:jc w:val="both"/>
        <w:rPr>
          <w:rFonts w:eastAsia="Times New Roman" w:cstheme="minorHAnsi"/>
          <w:color w:val="000000"/>
          <w:sz w:val="24"/>
          <w:szCs w:val="24"/>
          <w:lang w:eastAsia="de-DE"/>
        </w:rPr>
      </w:pPr>
      <w:r w:rsidRPr="00905D6D">
        <w:rPr>
          <w:rFonts w:eastAsia="Times New Roman" w:cstheme="minorHAnsi"/>
          <w:color w:val="000000"/>
          <w:sz w:val="24"/>
          <w:szCs w:val="24"/>
          <w:lang w:eastAsia="de-DE"/>
        </w:rPr>
        <w:t xml:space="preserve"> Welcher nun ein christlicher Fürst sein will, der mu</w:t>
      </w:r>
      <w:r>
        <w:rPr>
          <w:rFonts w:eastAsia="Times New Roman" w:cstheme="minorHAnsi"/>
          <w:color w:val="000000"/>
          <w:sz w:val="24"/>
          <w:szCs w:val="24"/>
          <w:lang w:eastAsia="de-DE"/>
        </w:rPr>
        <w:t>ss</w:t>
      </w:r>
      <w:r w:rsidRPr="00905D6D">
        <w:rPr>
          <w:rFonts w:eastAsia="Times New Roman" w:cstheme="minorHAnsi"/>
          <w:color w:val="000000"/>
          <w:sz w:val="24"/>
          <w:szCs w:val="24"/>
          <w:lang w:eastAsia="de-DE"/>
        </w:rPr>
        <w:t xml:space="preserve"> wahrlich die Meinung ablegen, daß er  herrschen und mit Gewalt verfahren wolle. Denn verflucht und verdammt ist alles Leben, das sich selbst zu Nutzen und zugute gelebt und gesucht wird, verflucht alle Werke, die nicht in der Liebe erfolgen. Dann aber erfolgen sie in der Liebe, wenn sie nicht auf eigene Lust, Nutzen, Ehre, Sicherheit und Heil, sondern auf anderer Nutzen, Ehre und Heil von ganzem Herzen gerichtet sind.</w:t>
      </w:r>
    </w:p>
    <w:p w:rsidR="00711080" w:rsidRDefault="00711080" w:rsidP="00711080">
      <w:pPr>
        <w:pStyle w:val="StandardWeb"/>
        <w:shd w:val="clear" w:color="auto" w:fill="F2F2F2" w:themeFill="background1" w:themeFillShade="F2"/>
        <w:spacing w:before="96" w:beforeAutospacing="0" w:after="96" w:afterAutospacing="0"/>
        <w:jc w:val="both"/>
        <w:rPr>
          <w:rFonts w:asciiTheme="minorHAnsi" w:hAnsiTheme="minorHAnsi" w:cstheme="minorHAnsi"/>
          <w:color w:val="000000"/>
        </w:rPr>
      </w:pPr>
      <w:r>
        <w:rPr>
          <w:rFonts w:asciiTheme="minorHAnsi" w:hAnsiTheme="minorHAnsi" w:cstheme="minorHAnsi"/>
          <w:color w:val="000000"/>
        </w:rPr>
        <w:t xml:space="preserve">Er soll </w:t>
      </w:r>
      <w:r w:rsidRPr="00905D6D">
        <w:rPr>
          <w:rFonts w:asciiTheme="minorHAnsi" w:hAnsiTheme="minorHAnsi" w:cstheme="minorHAnsi"/>
          <w:color w:val="000000"/>
        </w:rPr>
        <w:t>seine Untertanen ansehen und dabei sein Herz recht rüsten. Das tut er aber dann, wenn er all seinen Sinn dahin richtet, daß er denselben nützlich und dienlich sei, und nicht so denke: Land und Leute sind mein, ich wills machen, wie mirs gefällt, sondern so: Ich bin des Landes und der Leute, ich solls machen, wie es ihnen nützlich und gut ist. Nicht soll ich suchen, wie ich hoch einherfahre und herrsche, sondern wie sie in gutem Frieden beschützt und verteidigt werden. Und er soll sich Christus vor seine Augen stellen und sagen: Siehe, Christus, der oberste Fürst, ist gekommen und hat mir gedient, nicht gesucht, wie er Gewalt, Gut und Ehre an mir hätte, sondern er hat nur meine Not angesehen und alles daran</w:t>
      </w:r>
      <w:r w:rsidR="00337ABA">
        <w:rPr>
          <w:rFonts w:asciiTheme="minorHAnsi" w:hAnsiTheme="minorHAnsi" w:cstheme="minorHAnsi"/>
          <w:color w:val="000000"/>
        </w:rPr>
        <w:t xml:space="preserve"> </w:t>
      </w:r>
      <w:r w:rsidRPr="00905D6D">
        <w:rPr>
          <w:rFonts w:asciiTheme="minorHAnsi" w:hAnsiTheme="minorHAnsi" w:cstheme="minorHAnsi"/>
          <w:color w:val="000000"/>
        </w:rPr>
        <w:t>gewandt, daß ich Gewalt, Gut und Ehre an ihm und durch ihn hätte. So will ich auch tun: nicht an meinen Untertanen das Meine suchen, sondern das Ihre, und will ihnen auch so mit meinem Amt dienen, sie schützen, ihnen nachsichtig sein und sie verteidigen, und allein mit der Absicht regieren, daß sie und nicht ich Gutes und Nutzen davon haben.</w:t>
      </w:r>
    </w:p>
    <w:p w:rsidR="00337ABA" w:rsidRDefault="00337ABA" w:rsidP="00337ABA">
      <w:pPr>
        <w:pStyle w:val="StandardWeb"/>
        <w:spacing w:before="96" w:beforeAutospacing="0" w:after="96" w:afterAutospacing="0"/>
        <w:jc w:val="both"/>
        <w:rPr>
          <w:rFonts w:asciiTheme="minorHAnsi" w:hAnsiTheme="minorHAnsi" w:cstheme="minorHAnsi"/>
          <w:color w:val="000000"/>
        </w:rPr>
      </w:pPr>
    </w:p>
    <w:p w:rsidR="00337ABA" w:rsidRPr="00337ABA" w:rsidRDefault="00337ABA" w:rsidP="00337ABA">
      <w:pPr>
        <w:pStyle w:val="StandardWeb"/>
        <w:spacing w:before="96" w:beforeAutospacing="0" w:after="96" w:afterAutospacing="0"/>
        <w:jc w:val="both"/>
        <w:rPr>
          <w:rFonts w:asciiTheme="minorHAnsi" w:hAnsiTheme="minorHAnsi" w:cstheme="minorHAnsi"/>
          <w:b/>
          <w:bCs/>
          <w:color w:val="000000"/>
        </w:rPr>
      </w:pPr>
      <w:r w:rsidRPr="00337ABA">
        <w:rPr>
          <w:rFonts w:asciiTheme="minorHAnsi" w:hAnsiTheme="minorHAnsi" w:cstheme="minorHAnsi"/>
          <w:b/>
          <w:bCs/>
          <w:color w:val="000000"/>
        </w:rPr>
        <w:t>Arbeitsaufgaben</w:t>
      </w:r>
    </w:p>
    <w:p w:rsidR="00337ABA" w:rsidRDefault="00337ABA" w:rsidP="00337ABA">
      <w:pPr>
        <w:pStyle w:val="StandardWeb"/>
        <w:numPr>
          <w:ilvl w:val="0"/>
          <w:numId w:val="4"/>
        </w:numPr>
        <w:spacing w:before="96" w:beforeAutospacing="0" w:after="96" w:afterAutospacing="0"/>
        <w:jc w:val="both"/>
        <w:rPr>
          <w:rFonts w:asciiTheme="minorHAnsi" w:hAnsiTheme="minorHAnsi" w:cstheme="minorHAnsi"/>
          <w:color w:val="000000"/>
        </w:rPr>
      </w:pPr>
      <w:r>
        <w:rPr>
          <w:rFonts w:asciiTheme="minorHAnsi" w:hAnsiTheme="minorHAnsi" w:cstheme="minorHAnsi"/>
          <w:color w:val="000000"/>
        </w:rPr>
        <w:t xml:space="preserve">Luther beschreibt das Regieren als Aufgabe, die mit einer Haltung verbunden ist. Erläutern Sie die Einstellung und ihrer Folgen für das Regierungshandeln. </w:t>
      </w:r>
    </w:p>
    <w:p w:rsidR="00337ABA" w:rsidRPr="00A7634C" w:rsidRDefault="00337ABA" w:rsidP="00337ABA">
      <w:pPr>
        <w:pStyle w:val="StandardWeb"/>
        <w:numPr>
          <w:ilvl w:val="0"/>
          <w:numId w:val="4"/>
        </w:numPr>
        <w:spacing w:before="96" w:beforeAutospacing="0" w:after="96" w:afterAutospacing="0"/>
        <w:jc w:val="both"/>
        <w:rPr>
          <w:rFonts w:asciiTheme="minorHAnsi" w:hAnsiTheme="minorHAnsi" w:cstheme="minorHAnsi"/>
          <w:color w:val="000000"/>
        </w:rPr>
      </w:pPr>
      <w:r>
        <w:rPr>
          <w:rFonts w:asciiTheme="minorHAnsi" w:hAnsiTheme="minorHAnsi" w:cstheme="minorHAnsi"/>
          <w:color w:val="000000"/>
        </w:rPr>
        <w:lastRenderedPageBreak/>
        <w:t>Suchen Sie Beispiele konkreten heutigen Regierungshandelns in demokratischen und autokratischen Staaten und untersuchen Sie es auf dem Hintergrund der lutherischen „Regierungsethik“.</w:t>
      </w:r>
    </w:p>
    <w:sectPr w:rsidR="00337ABA" w:rsidRPr="00A7634C" w:rsidSect="00C25066">
      <w:pgSz w:w="11906" w:h="16838"/>
      <w:pgMar w:top="709" w:right="991"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2F0" w:rsidRDefault="003212F0" w:rsidP="00702ED8">
      <w:pPr>
        <w:spacing w:after="0" w:line="240" w:lineRule="auto"/>
      </w:pPr>
      <w:r>
        <w:separator/>
      </w:r>
    </w:p>
  </w:endnote>
  <w:endnote w:type="continuationSeparator" w:id="0">
    <w:p w:rsidR="003212F0" w:rsidRDefault="003212F0" w:rsidP="00702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2F0" w:rsidRDefault="003212F0" w:rsidP="00702ED8">
      <w:pPr>
        <w:spacing w:after="0" w:line="240" w:lineRule="auto"/>
      </w:pPr>
      <w:r>
        <w:separator/>
      </w:r>
    </w:p>
  </w:footnote>
  <w:footnote w:type="continuationSeparator" w:id="0">
    <w:p w:rsidR="003212F0" w:rsidRDefault="003212F0" w:rsidP="00702ED8">
      <w:pPr>
        <w:spacing w:after="0" w:line="240" w:lineRule="auto"/>
      </w:pPr>
      <w:r>
        <w:continuationSeparator/>
      </w:r>
    </w:p>
  </w:footnote>
  <w:footnote w:id="1">
    <w:p w:rsidR="00702ED8" w:rsidRDefault="00702ED8">
      <w:pPr>
        <w:pStyle w:val="Funotentext"/>
      </w:pPr>
      <w:r>
        <w:rPr>
          <w:rStyle w:val="Funotenzeichen"/>
        </w:rPr>
        <w:footnoteRef/>
      </w:r>
      <w:r>
        <w:t xml:space="preserve"> </w:t>
      </w:r>
      <w:r w:rsidRPr="00702ED8">
        <w:t xml:space="preserve">Text online verfügbar unter: </w:t>
      </w:r>
      <w:hyperlink r:id="rId1" w:history="1">
        <w:r w:rsidRPr="00E339E0">
          <w:rPr>
            <w:rStyle w:val="Hyperlink"/>
          </w:rPr>
          <w:t>https://www.projekt-gutenberg.org/luther/weltobri/weltobri.html</w:t>
        </w:r>
      </w:hyperlink>
      <w:r w:rsidR="00C25066">
        <w:t xml:space="preserve">. </w:t>
      </w:r>
      <w:r w:rsidR="00C25066" w:rsidRPr="00C25066">
        <w:t>Quelle: Luther Deutsch. Die Werke Martin Luthers. In neuer Auswahl für die Gegenwart. Herausgeben von Kurt Aland. Band 7: Martin Luther. Der Christ in der Welt. 2., erweiterte und neubearbeitete Auflage 1967. Göttingen:</w:t>
      </w:r>
      <w:r w:rsidR="00337ABA">
        <w:t xml:space="preserve"> </w:t>
      </w:r>
      <w:r w:rsidR="00C25066" w:rsidRPr="00C25066">
        <w:t>Ehrenfried Klotz Verlag im Verlag Vandenhoeck &amp; Ruprecht. S. 9-51.</w:t>
      </w:r>
    </w:p>
    <w:p w:rsidR="00702ED8" w:rsidRDefault="00702ED8">
      <w:pPr>
        <w:pStyle w:val="Funoten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62E4"/>
    <w:multiLevelType w:val="hybridMultilevel"/>
    <w:tmpl w:val="40F2D298"/>
    <w:lvl w:ilvl="0" w:tplc="C3C84C02">
      <w:start w:val="1"/>
      <w:numFmt w:val="decimal"/>
      <w:lvlText w:val="%1."/>
      <w:lvlJc w:val="left"/>
      <w:pPr>
        <w:ind w:left="552" w:hanging="360"/>
      </w:pPr>
      <w:rPr>
        <w:rFonts w:hint="default"/>
      </w:rPr>
    </w:lvl>
    <w:lvl w:ilvl="1" w:tplc="04070019" w:tentative="1">
      <w:start w:val="1"/>
      <w:numFmt w:val="lowerLetter"/>
      <w:lvlText w:val="%2."/>
      <w:lvlJc w:val="left"/>
      <w:pPr>
        <w:ind w:left="1272" w:hanging="360"/>
      </w:pPr>
    </w:lvl>
    <w:lvl w:ilvl="2" w:tplc="0407001B" w:tentative="1">
      <w:start w:val="1"/>
      <w:numFmt w:val="lowerRoman"/>
      <w:lvlText w:val="%3."/>
      <w:lvlJc w:val="right"/>
      <w:pPr>
        <w:ind w:left="1992" w:hanging="180"/>
      </w:pPr>
    </w:lvl>
    <w:lvl w:ilvl="3" w:tplc="0407000F" w:tentative="1">
      <w:start w:val="1"/>
      <w:numFmt w:val="decimal"/>
      <w:lvlText w:val="%4."/>
      <w:lvlJc w:val="left"/>
      <w:pPr>
        <w:ind w:left="2712" w:hanging="360"/>
      </w:pPr>
    </w:lvl>
    <w:lvl w:ilvl="4" w:tplc="04070019" w:tentative="1">
      <w:start w:val="1"/>
      <w:numFmt w:val="lowerLetter"/>
      <w:lvlText w:val="%5."/>
      <w:lvlJc w:val="left"/>
      <w:pPr>
        <w:ind w:left="3432" w:hanging="360"/>
      </w:pPr>
    </w:lvl>
    <w:lvl w:ilvl="5" w:tplc="0407001B" w:tentative="1">
      <w:start w:val="1"/>
      <w:numFmt w:val="lowerRoman"/>
      <w:lvlText w:val="%6."/>
      <w:lvlJc w:val="right"/>
      <w:pPr>
        <w:ind w:left="4152" w:hanging="180"/>
      </w:pPr>
    </w:lvl>
    <w:lvl w:ilvl="6" w:tplc="0407000F" w:tentative="1">
      <w:start w:val="1"/>
      <w:numFmt w:val="decimal"/>
      <w:lvlText w:val="%7."/>
      <w:lvlJc w:val="left"/>
      <w:pPr>
        <w:ind w:left="4872" w:hanging="360"/>
      </w:pPr>
    </w:lvl>
    <w:lvl w:ilvl="7" w:tplc="04070019" w:tentative="1">
      <w:start w:val="1"/>
      <w:numFmt w:val="lowerLetter"/>
      <w:lvlText w:val="%8."/>
      <w:lvlJc w:val="left"/>
      <w:pPr>
        <w:ind w:left="5592" w:hanging="360"/>
      </w:pPr>
    </w:lvl>
    <w:lvl w:ilvl="8" w:tplc="0407001B" w:tentative="1">
      <w:start w:val="1"/>
      <w:numFmt w:val="lowerRoman"/>
      <w:lvlText w:val="%9."/>
      <w:lvlJc w:val="right"/>
      <w:pPr>
        <w:ind w:left="6312" w:hanging="180"/>
      </w:pPr>
    </w:lvl>
  </w:abstractNum>
  <w:abstractNum w:abstractNumId="1" w15:restartNumberingAfterBreak="0">
    <w:nsid w:val="0ED94BBC"/>
    <w:multiLevelType w:val="hybridMultilevel"/>
    <w:tmpl w:val="3790E4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4D1F63"/>
    <w:multiLevelType w:val="hybridMultilevel"/>
    <w:tmpl w:val="52FCFB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6EA50B7"/>
    <w:multiLevelType w:val="hybridMultilevel"/>
    <w:tmpl w:val="A2F66124"/>
    <w:lvl w:ilvl="0" w:tplc="BA4CABA0">
      <w:start w:val="1"/>
      <w:numFmt w:val="decimal"/>
      <w:lvlText w:val="%1."/>
      <w:lvlJc w:val="left"/>
      <w:pPr>
        <w:ind w:left="552" w:hanging="360"/>
      </w:pPr>
      <w:rPr>
        <w:rFonts w:hint="default"/>
      </w:rPr>
    </w:lvl>
    <w:lvl w:ilvl="1" w:tplc="04070019" w:tentative="1">
      <w:start w:val="1"/>
      <w:numFmt w:val="lowerLetter"/>
      <w:lvlText w:val="%2."/>
      <w:lvlJc w:val="left"/>
      <w:pPr>
        <w:ind w:left="1272" w:hanging="360"/>
      </w:pPr>
    </w:lvl>
    <w:lvl w:ilvl="2" w:tplc="0407001B" w:tentative="1">
      <w:start w:val="1"/>
      <w:numFmt w:val="lowerRoman"/>
      <w:lvlText w:val="%3."/>
      <w:lvlJc w:val="right"/>
      <w:pPr>
        <w:ind w:left="1992" w:hanging="180"/>
      </w:pPr>
    </w:lvl>
    <w:lvl w:ilvl="3" w:tplc="0407000F" w:tentative="1">
      <w:start w:val="1"/>
      <w:numFmt w:val="decimal"/>
      <w:lvlText w:val="%4."/>
      <w:lvlJc w:val="left"/>
      <w:pPr>
        <w:ind w:left="2712" w:hanging="360"/>
      </w:pPr>
    </w:lvl>
    <w:lvl w:ilvl="4" w:tplc="04070019" w:tentative="1">
      <w:start w:val="1"/>
      <w:numFmt w:val="lowerLetter"/>
      <w:lvlText w:val="%5."/>
      <w:lvlJc w:val="left"/>
      <w:pPr>
        <w:ind w:left="3432" w:hanging="360"/>
      </w:pPr>
    </w:lvl>
    <w:lvl w:ilvl="5" w:tplc="0407001B" w:tentative="1">
      <w:start w:val="1"/>
      <w:numFmt w:val="lowerRoman"/>
      <w:lvlText w:val="%6."/>
      <w:lvlJc w:val="right"/>
      <w:pPr>
        <w:ind w:left="4152" w:hanging="180"/>
      </w:pPr>
    </w:lvl>
    <w:lvl w:ilvl="6" w:tplc="0407000F" w:tentative="1">
      <w:start w:val="1"/>
      <w:numFmt w:val="decimal"/>
      <w:lvlText w:val="%7."/>
      <w:lvlJc w:val="left"/>
      <w:pPr>
        <w:ind w:left="4872" w:hanging="360"/>
      </w:pPr>
    </w:lvl>
    <w:lvl w:ilvl="7" w:tplc="04070019" w:tentative="1">
      <w:start w:val="1"/>
      <w:numFmt w:val="lowerLetter"/>
      <w:lvlText w:val="%8."/>
      <w:lvlJc w:val="left"/>
      <w:pPr>
        <w:ind w:left="5592" w:hanging="360"/>
      </w:pPr>
    </w:lvl>
    <w:lvl w:ilvl="8" w:tplc="0407001B" w:tentative="1">
      <w:start w:val="1"/>
      <w:numFmt w:val="lowerRoman"/>
      <w:lvlText w:val="%9."/>
      <w:lvlJc w:val="right"/>
      <w:pPr>
        <w:ind w:left="6312"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ED8"/>
    <w:rsid w:val="001E3ABA"/>
    <w:rsid w:val="00262F2F"/>
    <w:rsid w:val="003212F0"/>
    <w:rsid w:val="00337ABA"/>
    <w:rsid w:val="00702ED8"/>
    <w:rsid w:val="00711080"/>
    <w:rsid w:val="007F6544"/>
    <w:rsid w:val="008D75D4"/>
    <w:rsid w:val="009102FE"/>
    <w:rsid w:val="00943379"/>
    <w:rsid w:val="00A7634C"/>
    <w:rsid w:val="00B91AE8"/>
    <w:rsid w:val="00C25066"/>
    <w:rsid w:val="00FA7CB8"/>
    <w:rsid w:val="00FF21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6B63"/>
  <w15:chartTrackingRefBased/>
  <w15:docId w15:val="{10515290-8286-42A3-AD43-B3D3AE38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702ED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702ED8"/>
    <w:rPr>
      <w:color w:val="0000FF"/>
      <w:u w:val="single"/>
    </w:rPr>
  </w:style>
  <w:style w:type="character" w:styleId="NichtaufgelsteErwhnung">
    <w:name w:val="Unresolved Mention"/>
    <w:basedOn w:val="Absatz-Standardschriftart"/>
    <w:uiPriority w:val="99"/>
    <w:semiHidden/>
    <w:unhideWhenUsed/>
    <w:rsid w:val="00702ED8"/>
    <w:rPr>
      <w:color w:val="605E5C"/>
      <w:shd w:val="clear" w:color="auto" w:fill="E1DFDD"/>
    </w:rPr>
  </w:style>
  <w:style w:type="paragraph" w:styleId="Funotentext">
    <w:name w:val="footnote text"/>
    <w:basedOn w:val="Standard"/>
    <w:link w:val="FunotentextZchn"/>
    <w:uiPriority w:val="99"/>
    <w:semiHidden/>
    <w:unhideWhenUsed/>
    <w:rsid w:val="00702ED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02ED8"/>
    <w:rPr>
      <w:sz w:val="20"/>
      <w:szCs w:val="20"/>
    </w:rPr>
  </w:style>
  <w:style w:type="character" w:styleId="Funotenzeichen">
    <w:name w:val="footnote reference"/>
    <w:basedOn w:val="Absatz-Standardschriftart"/>
    <w:uiPriority w:val="99"/>
    <w:semiHidden/>
    <w:unhideWhenUsed/>
    <w:rsid w:val="00702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64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ls-dhs-dss.ch/de/articles/028734/2009-08-24/" TargetMode="External"/><Relationship Id="rId4" Type="http://schemas.openxmlformats.org/officeDocument/2006/relationships/settings" Target="settings.xml"/><Relationship Id="rId9" Type="http://schemas.openxmlformats.org/officeDocument/2006/relationships/hyperlink" Target="https://de.wikisource.org/wiki/Christliche_Symbolik/Schwer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projekt-gutenberg.org/luther/weltobri/weltobri.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C7D6A-6D01-499D-A8F9-87EE1CD7B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1343</Words>
  <Characters>8466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dc:description/>
  <cp:lastModifiedBy>Hauser, Uwe</cp:lastModifiedBy>
  <cp:revision>5</cp:revision>
  <dcterms:created xsi:type="dcterms:W3CDTF">2020-09-08T09:46:00Z</dcterms:created>
  <dcterms:modified xsi:type="dcterms:W3CDTF">2020-09-09T12:45:00Z</dcterms:modified>
</cp:coreProperties>
</file>