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D7C" w:rsidRPr="00E3671B" w:rsidRDefault="00E3671B" w:rsidP="00E3671B">
      <w:pPr>
        <w:pStyle w:val="berschrift2"/>
        <w:rPr>
          <w:b/>
          <w:bCs/>
        </w:rPr>
      </w:pPr>
      <w:r w:rsidRPr="00E3671B">
        <w:rPr>
          <w:b/>
          <w:bCs/>
        </w:rPr>
        <w:t xml:space="preserve">09-5 </w:t>
      </w:r>
      <w:r w:rsidR="00215D7C" w:rsidRPr="00E3671B">
        <w:rPr>
          <w:b/>
          <w:bCs/>
        </w:rPr>
        <w:t xml:space="preserve">Das </w:t>
      </w:r>
      <w:r w:rsidR="0028619C" w:rsidRPr="00E3671B">
        <w:rPr>
          <w:b/>
          <w:bCs/>
        </w:rPr>
        <w:t>Bekenntnis von Ephesus</w:t>
      </w:r>
      <w:r w:rsidR="00F17797" w:rsidRPr="00E3671B">
        <w:rPr>
          <w:b/>
          <w:bCs/>
        </w:rPr>
        <w:t xml:space="preserve"> (431 n.Chr.)</w:t>
      </w:r>
    </w:p>
    <w:p w:rsidR="00E3671B" w:rsidRDefault="00E3671B" w:rsidP="00461701">
      <w:pPr>
        <w:rPr>
          <w:rFonts w:asciiTheme="minorHAnsi" w:hAnsiTheme="minorHAnsi" w:cstheme="minorHAnsi"/>
          <w:iCs/>
        </w:rPr>
      </w:pPr>
    </w:p>
    <w:p w:rsidR="00461701" w:rsidRPr="00E3671B" w:rsidRDefault="00461701" w:rsidP="00461701">
      <w:pPr>
        <w:rPr>
          <w:rFonts w:asciiTheme="minorHAnsi" w:hAnsiTheme="minorHAnsi" w:cstheme="minorHAnsi"/>
          <w:iCs/>
        </w:rPr>
      </w:pPr>
      <w:r w:rsidRPr="00E3671B">
        <w:rPr>
          <w:rFonts w:asciiTheme="minorHAnsi" w:hAnsiTheme="minorHAnsi" w:cstheme="minorHAnsi"/>
          <w:iCs/>
        </w:rPr>
        <w:t>Das Konzil von Ephesos war das dritte allgemeine Konzil der Kirche. Es fand vom 431 n. Chr. in der kleinasiatischen Stadt Ephesos statt. Es wurde von dem oströmischen Kaiser Theodosius II. einberufen. Anwesend waren rund 250 Geistliche.</w:t>
      </w:r>
    </w:p>
    <w:p w:rsidR="00461701" w:rsidRPr="00E3671B" w:rsidRDefault="00461701" w:rsidP="00461701">
      <w:pPr>
        <w:pStyle w:val="StandardWeb"/>
        <w:rPr>
          <w:rFonts w:asciiTheme="minorHAnsi" w:hAnsiTheme="minorHAnsi" w:cstheme="minorHAnsi"/>
        </w:rPr>
      </w:pPr>
      <w:r w:rsidRPr="00E3671B">
        <w:rPr>
          <w:rFonts w:asciiTheme="minorHAnsi" w:hAnsiTheme="minorHAnsi" w:cstheme="minorHAnsi"/>
          <w:iCs/>
        </w:rPr>
        <w:t>Diskussionsthemen dieses Konzils waren die Christologie (</w:t>
      </w:r>
      <w:r w:rsidRPr="00E3671B">
        <w:rPr>
          <w:rFonts w:asciiTheme="minorHAnsi" w:hAnsiTheme="minorHAnsi" w:cstheme="minorHAnsi"/>
          <w:b/>
          <w:iCs/>
        </w:rPr>
        <w:t>Nestorianismus</w:t>
      </w:r>
      <w:r w:rsidRPr="00E3671B">
        <w:rPr>
          <w:rFonts w:asciiTheme="minorHAnsi" w:hAnsiTheme="minorHAnsi" w:cstheme="minorHAnsi"/>
          <w:iCs/>
        </w:rPr>
        <w:t xml:space="preserve">, Maria als Gottesgebärerin) und der </w:t>
      </w:r>
      <w:r w:rsidRPr="00E3671B">
        <w:rPr>
          <w:rFonts w:asciiTheme="minorHAnsi" w:hAnsiTheme="minorHAnsi" w:cstheme="minorHAnsi"/>
          <w:b/>
          <w:iCs/>
        </w:rPr>
        <w:t>Pelagianismus:</w:t>
      </w:r>
      <w:r w:rsidRPr="00E3671B">
        <w:rPr>
          <w:rFonts w:asciiTheme="minorHAnsi" w:hAnsiTheme="minorHAnsi" w:cstheme="minorHAnsi"/>
        </w:rPr>
        <w:t xml:space="preserve"> </w:t>
      </w:r>
    </w:p>
    <w:p w:rsidR="00461701" w:rsidRPr="00E3671B" w:rsidRDefault="00461701" w:rsidP="00461701">
      <w:pPr>
        <w:pStyle w:val="StandardWeb"/>
        <w:rPr>
          <w:rFonts w:ascii="Calibri" w:hAnsi="Calibri" w:cs="Calibri"/>
        </w:rPr>
      </w:pPr>
      <w:r w:rsidRPr="00E3671B">
        <w:rPr>
          <w:rFonts w:ascii="Calibri" w:hAnsi="Calibri" w:cs="Calibri"/>
          <w:b/>
        </w:rPr>
        <w:t>- Nestorius</w:t>
      </w:r>
      <w:r w:rsidRPr="00E3671B">
        <w:rPr>
          <w:rFonts w:ascii="Calibri" w:hAnsi="Calibri" w:cs="Calibri"/>
        </w:rPr>
        <w:t xml:space="preserve"> vertrat die These, dass d</w:t>
      </w:r>
      <w:r w:rsidR="00E3671B">
        <w:rPr>
          <w:rFonts w:ascii="Calibri" w:hAnsi="Calibri" w:cs="Calibri"/>
        </w:rPr>
        <w:t>er</w:t>
      </w:r>
      <w:r w:rsidRPr="00E3671B">
        <w:rPr>
          <w:rFonts w:ascii="Calibri" w:hAnsi="Calibri" w:cs="Calibri"/>
        </w:rPr>
        <w:t xml:space="preserve"> Mensch</w:t>
      </w:r>
      <w:r w:rsidR="00E3671B">
        <w:rPr>
          <w:rFonts w:ascii="Calibri" w:hAnsi="Calibri" w:cs="Calibri"/>
        </w:rPr>
        <w:t xml:space="preserve"> Jesus Chrsitus</w:t>
      </w:r>
      <w:r w:rsidRPr="00E3671B">
        <w:rPr>
          <w:rFonts w:ascii="Calibri" w:hAnsi="Calibri" w:cs="Calibri"/>
        </w:rPr>
        <w:t xml:space="preserve"> mit seiner Gottheit nur moralisch verbunden sei und dass daraus folge, dass Maria nur Christusgebärerin, nicht aber Gottesgebärerin sei.</w:t>
      </w:r>
    </w:p>
    <w:p w:rsidR="00461701" w:rsidRPr="00E3671B" w:rsidRDefault="00461701" w:rsidP="00461701">
      <w:pPr>
        <w:pStyle w:val="StandardWeb"/>
        <w:rPr>
          <w:rFonts w:asciiTheme="minorHAnsi" w:hAnsiTheme="minorHAnsi" w:cstheme="minorHAnsi"/>
        </w:rPr>
      </w:pPr>
      <w:r w:rsidRPr="00E3671B">
        <w:rPr>
          <w:rFonts w:ascii="Calibri" w:hAnsi="Calibri" w:cs="Calibri"/>
        </w:rPr>
        <w:t xml:space="preserve">- Unter </w:t>
      </w:r>
      <w:r w:rsidRPr="00E3671B">
        <w:rPr>
          <w:rFonts w:ascii="Calibri" w:hAnsi="Calibri" w:cs="Calibri"/>
          <w:b/>
        </w:rPr>
        <w:t xml:space="preserve">Pelagianismus </w:t>
      </w:r>
      <w:r w:rsidRPr="00E3671B">
        <w:rPr>
          <w:rFonts w:ascii="Calibri" w:hAnsi="Calibri" w:cs="Calibri"/>
        </w:rPr>
        <w:t>wird im Christentum die Lehre verstanden, dass die menschliche Natur nicht durch die Erbsünde verdorben worden sei</w:t>
      </w:r>
      <w:r w:rsidR="00E3671B">
        <w:rPr>
          <w:rFonts w:ascii="Calibri" w:hAnsi="Calibri" w:cs="Calibri"/>
        </w:rPr>
        <w:t xml:space="preserve">. Das heißt der Mensch sei nicht von Geburt </w:t>
      </w:r>
      <w:proofErr w:type="gramStart"/>
      <w:r w:rsidR="00E3671B">
        <w:rPr>
          <w:rFonts w:ascii="Calibri" w:hAnsi="Calibri" w:cs="Calibri"/>
        </w:rPr>
        <w:t>an ein Sünder</w:t>
      </w:r>
      <w:proofErr w:type="gramEnd"/>
      <w:r w:rsidR="00E3671B">
        <w:rPr>
          <w:rFonts w:ascii="Calibri" w:hAnsi="Calibri" w:cs="Calibri"/>
        </w:rPr>
        <w:t>. Vielmehr sei er, da er von</w:t>
      </w:r>
      <w:r w:rsidRPr="00E3671B">
        <w:rPr>
          <w:rFonts w:ascii="Calibri" w:hAnsi="Calibri" w:cs="Calibri"/>
        </w:rPr>
        <w:t xml:space="preserve"> Gott geschaffen</w:t>
      </w:r>
      <w:r w:rsidR="00E3671B">
        <w:rPr>
          <w:rFonts w:ascii="Calibri" w:hAnsi="Calibri" w:cs="Calibri"/>
        </w:rPr>
        <w:t xml:space="preserve"> ist</w:t>
      </w:r>
      <w:r w:rsidRPr="00E3671B">
        <w:rPr>
          <w:rFonts w:ascii="Calibri" w:hAnsi="Calibri" w:cs="Calibri"/>
        </w:rPr>
        <w:t>, gut. Anson</w:t>
      </w:r>
      <w:r w:rsidR="00885002" w:rsidRPr="00E3671B">
        <w:rPr>
          <w:rFonts w:ascii="Calibri" w:hAnsi="Calibri" w:cs="Calibri"/>
        </w:rPr>
        <w:t>s</w:t>
      </w:r>
      <w:r w:rsidRPr="00E3671B">
        <w:rPr>
          <w:rFonts w:ascii="Calibri" w:hAnsi="Calibri" w:cs="Calibri"/>
        </w:rPr>
        <w:t xml:space="preserve">ten muss man unterstellen, dass ein Teil der Schöpfung Gottes böse sei. Im Kern lehrt der Theologe </w:t>
      </w:r>
      <w:proofErr w:type="spellStart"/>
      <w:r w:rsidRPr="00E3671B">
        <w:rPr>
          <w:rFonts w:ascii="Calibri" w:hAnsi="Calibri" w:cs="Calibri"/>
        </w:rPr>
        <w:t>Pelagius</w:t>
      </w:r>
      <w:proofErr w:type="spellEnd"/>
      <w:r w:rsidRPr="00E3671B">
        <w:rPr>
          <w:rFonts w:ascii="Calibri" w:hAnsi="Calibri" w:cs="Calibri"/>
        </w:rPr>
        <w:t xml:space="preserve">, dass es grundsätzlich möglich ist, ohne Sünde zu sein. Etwas zugespitzt handelt es sich um eine Lehre der Selbsterlösungsmöglichkeit und </w:t>
      </w:r>
      <w:r w:rsidR="003D7D50" w:rsidRPr="00E3671B">
        <w:rPr>
          <w:rFonts w:ascii="Calibri" w:hAnsi="Calibri" w:cs="Calibri"/>
        </w:rPr>
        <w:t>-</w:t>
      </w:r>
      <w:r w:rsidRPr="00E3671B">
        <w:rPr>
          <w:rFonts w:ascii="Calibri" w:hAnsi="Calibri" w:cs="Calibri"/>
        </w:rPr>
        <w:t>fähigkeit des Menschen.</w:t>
      </w:r>
      <w:r w:rsidR="00E3671B">
        <w:rPr>
          <w:rFonts w:ascii="Calibri" w:hAnsi="Calibri" w:cs="Calibri"/>
        </w:rPr>
        <w:t xml:space="preserve"> Dann stellt sich die Frage, warum Jesus Christus, die Menschen erlösen musste.</w:t>
      </w:r>
    </w:p>
    <w:p w:rsidR="00215D7C" w:rsidRPr="00E3671B" w:rsidRDefault="00461701" w:rsidP="00461701">
      <w:pPr>
        <w:pStyle w:val="Untertitel"/>
        <w:jc w:val="left"/>
        <w:rPr>
          <w:rFonts w:asciiTheme="minorHAnsi" w:hAnsiTheme="minorHAnsi" w:cstheme="minorHAnsi"/>
          <w:sz w:val="24"/>
          <w:szCs w:val="24"/>
        </w:rPr>
      </w:pPr>
      <w:r w:rsidRPr="00E3671B">
        <w:rPr>
          <w:rFonts w:asciiTheme="minorHAnsi" w:hAnsiTheme="minorHAnsi" w:cstheme="minorHAnsi"/>
          <w:sz w:val="24"/>
          <w:szCs w:val="24"/>
        </w:rPr>
        <w:t>Dagegen bekannten die Väter in Ephesus</w:t>
      </w:r>
    </w:p>
    <w:p w:rsidR="00183ADA" w:rsidRPr="00E3671B" w:rsidRDefault="00183ADA" w:rsidP="00461701">
      <w:pPr>
        <w:pStyle w:val="StandardWeb"/>
        <w:shd w:val="clear" w:color="auto" w:fill="D9D9D9" w:themeFill="background1" w:themeFillShade="D9"/>
        <w:rPr>
          <w:rFonts w:asciiTheme="minorHAnsi" w:hAnsiTheme="minorHAnsi" w:cstheme="minorHAnsi"/>
          <w:i/>
        </w:rPr>
      </w:pPr>
      <w:r w:rsidRPr="00E3671B">
        <w:rPr>
          <w:rFonts w:asciiTheme="minorHAnsi" w:hAnsiTheme="minorHAnsi" w:cstheme="minorHAnsi"/>
          <w:i/>
        </w:rPr>
        <w:t>„</w:t>
      </w:r>
      <w:r w:rsidR="0028619C" w:rsidRPr="00E3671B">
        <w:rPr>
          <w:rFonts w:asciiTheme="minorHAnsi" w:hAnsiTheme="minorHAnsi" w:cstheme="minorHAnsi"/>
          <w:i/>
        </w:rPr>
        <w:t>Wir sagen, da</w:t>
      </w:r>
      <w:r w:rsidRPr="00E3671B">
        <w:rPr>
          <w:rFonts w:asciiTheme="minorHAnsi" w:hAnsiTheme="minorHAnsi" w:cstheme="minorHAnsi"/>
          <w:i/>
        </w:rPr>
        <w:t>ss</w:t>
      </w:r>
      <w:r w:rsidR="0028619C" w:rsidRPr="00E3671B">
        <w:rPr>
          <w:rFonts w:asciiTheme="minorHAnsi" w:hAnsiTheme="minorHAnsi" w:cstheme="minorHAnsi"/>
          <w:i/>
        </w:rPr>
        <w:t xml:space="preserve"> das Wort, indem es das mit einer vernunftbegabten Seele beseelte Fleisch mit sich selbst der </w:t>
      </w:r>
      <w:r w:rsidRPr="00E3671B">
        <w:rPr>
          <w:rFonts w:asciiTheme="minorHAnsi" w:hAnsiTheme="minorHAnsi" w:cstheme="minorHAnsi"/>
          <w:i/>
        </w:rPr>
        <w:t>Wesenheit</w:t>
      </w:r>
      <w:r w:rsidR="0028619C" w:rsidRPr="00E3671B">
        <w:rPr>
          <w:rFonts w:asciiTheme="minorHAnsi" w:hAnsiTheme="minorHAnsi" w:cstheme="minorHAnsi"/>
          <w:i/>
        </w:rPr>
        <w:t xml:space="preserve"> nach einte, auf unbegreifliche Weise Mensch geworden ist, nicht allein seinem Willen entsprechend, auch nicht allein gleichsam in der Annahme einer Person; ferner behaupten wir, dass die Naturen, die sich zu einer wahrhaftigen Einheit verbunden haben, zwar verschieden sind, Christus und der Sohn aber einer aus beiden ist, nicht weil der Unterschied der Naturen wegen der Einung aufgehoben wäre, sondern weil die Gottheit und Menschheit durch die geheimnisvolle Verbindung zu einer Einheit uns den einen Herrn und Christus gebildet haben. </w:t>
      </w:r>
      <w:r w:rsidR="0028619C" w:rsidRPr="00E3671B">
        <w:rPr>
          <w:rStyle w:val="searchhit"/>
          <w:rFonts w:asciiTheme="minorHAnsi" w:hAnsiTheme="minorHAnsi" w:cstheme="minorHAnsi"/>
          <w:i/>
        </w:rPr>
        <w:t>Von</w:t>
      </w:r>
      <w:r w:rsidR="0028619C" w:rsidRPr="00E3671B">
        <w:rPr>
          <w:rFonts w:asciiTheme="minorHAnsi" w:hAnsiTheme="minorHAnsi" w:cstheme="minorHAnsi"/>
          <w:i/>
        </w:rPr>
        <w:t xml:space="preserve"> ihm wird gesagt, da</w:t>
      </w:r>
      <w:r w:rsidRPr="00E3671B">
        <w:rPr>
          <w:rFonts w:asciiTheme="minorHAnsi" w:hAnsiTheme="minorHAnsi" w:cstheme="minorHAnsi"/>
          <w:i/>
        </w:rPr>
        <w:t>ss</w:t>
      </w:r>
      <w:r w:rsidR="0028619C" w:rsidRPr="00E3671B">
        <w:rPr>
          <w:rFonts w:asciiTheme="minorHAnsi" w:hAnsiTheme="minorHAnsi" w:cstheme="minorHAnsi"/>
          <w:i/>
        </w:rPr>
        <w:t xml:space="preserve"> es schon vom Mutterschoß her geeint, die fleischliche Geburt auf sich genommen hat. </w:t>
      </w:r>
      <w:r w:rsidRPr="00E3671B">
        <w:rPr>
          <w:rFonts w:asciiTheme="minorHAnsi" w:hAnsiTheme="minorHAnsi" w:cstheme="minorHAnsi"/>
          <w:i/>
        </w:rPr>
        <w:t xml:space="preserve"> </w:t>
      </w:r>
      <w:r w:rsidR="0028619C" w:rsidRPr="00E3671B">
        <w:rPr>
          <w:rFonts w:asciiTheme="minorHAnsi" w:hAnsiTheme="minorHAnsi" w:cstheme="minorHAnsi"/>
          <w:i/>
        </w:rPr>
        <w:t>Darum haben die Väter die heilige Jungfrau Gottesgebärerin genannt.</w:t>
      </w:r>
      <w:r w:rsidRPr="00E3671B">
        <w:rPr>
          <w:rFonts w:asciiTheme="minorHAnsi" w:hAnsiTheme="minorHAnsi" w:cstheme="minorHAnsi"/>
          <w:i/>
        </w:rPr>
        <w:t>“</w:t>
      </w:r>
      <w:r w:rsidR="0028619C" w:rsidRPr="00E3671B">
        <w:rPr>
          <w:rFonts w:asciiTheme="minorHAnsi" w:hAnsiTheme="minorHAnsi" w:cstheme="minorHAnsi"/>
          <w:i/>
        </w:rPr>
        <w:t xml:space="preserve"> </w:t>
      </w:r>
    </w:p>
    <w:p w:rsidR="00183ADA" w:rsidRPr="00E3671B" w:rsidRDefault="00183ADA" w:rsidP="00183ADA">
      <w:pPr>
        <w:rPr>
          <w:rFonts w:asciiTheme="minorHAnsi" w:hAnsiTheme="minorHAnsi" w:cstheme="minorHAnsi"/>
        </w:rPr>
      </w:pPr>
    </w:p>
    <w:p w:rsidR="00183ADA" w:rsidRPr="00E3671B" w:rsidRDefault="009C12C6" w:rsidP="00183ADA">
      <w:pPr>
        <w:rPr>
          <w:rFonts w:asciiTheme="minorHAnsi" w:hAnsiTheme="minorHAnsi" w:cstheme="minorHAnsi"/>
          <w:b/>
          <w:bCs/>
        </w:rPr>
      </w:pPr>
      <w:r w:rsidRPr="00E3671B">
        <w:rPr>
          <w:rFonts w:asciiTheme="minorHAnsi" w:hAnsiTheme="minorHAnsi" w:cstheme="minorHAnsi"/>
          <w:b/>
          <w:bCs/>
        </w:rPr>
        <w:t>Aufgabe</w:t>
      </w:r>
    </w:p>
    <w:p w:rsidR="00E3671B" w:rsidRDefault="00E3671B" w:rsidP="00E3671B">
      <w:pPr>
        <w:pStyle w:val="Listenabsatz"/>
        <w:numPr>
          <w:ilvl w:val="0"/>
          <w:numId w:val="1"/>
        </w:numPr>
        <w:rPr>
          <w:rFonts w:asciiTheme="minorHAnsi" w:hAnsiTheme="minorHAnsi" w:cstheme="minorHAnsi"/>
        </w:rPr>
      </w:pPr>
      <w:r>
        <w:rPr>
          <w:rFonts w:asciiTheme="minorHAnsi" w:hAnsiTheme="minorHAnsi" w:cstheme="minorHAnsi"/>
        </w:rPr>
        <w:t xml:space="preserve">Informieren Sie sich über die </w:t>
      </w:r>
      <w:r w:rsidR="007E4B4C">
        <w:rPr>
          <w:rFonts w:asciiTheme="minorHAnsi" w:hAnsiTheme="minorHAnsi" w:cstheme="minorHAnsi"/>
        </w:rPr>
        <w:t>theologischen Wege, die abgelehnt wurden.</w:t>
      </w:r>
    </w:p>
    <w:p w:rsidR="003D7D50" w:rsidRPr="00E3671B" w:rsidRDefault="003D7D50" w:rsidP="00E3671B">
      <w:pPr>
        <w:pStyle w:val="Listenabsatz"/>
        <w:numPr>
          <w:ilvl w:val="0"/>
          <w:numId w:val="1"/>
        </w:numPr>
        <w:rPr>
          <w:rFonts w:asciiTheme="minorHAnsi" w:hAnsiTheme="minorHAnsi" w:cstheme="minorHAnsi"/>
        </w:rPr>
      </w:pPr>
      <w:r w:rsidRPr="00E3671B">
        <w:rPr>
          <w:rFonts w:asciiTheme="minorHAnsi" w:hAnsiTheme="minorHAnsi" w:cstheme="minorHAnsi"/>
        </w:rPr>
        <w:t>Begründen</w:t>
      </w:r>
      <w:r w:rsidR="00E3671B" w:rsidRPr="00E3671B">
        <w:rPr>
          <w:rFonts w:asciiTheme="minorHAnsi" w:hAnsiTheme="minorHAnsi" w:cstheme="minorHAnsi"/>
        </w:rPr>
        <w:t xml:space="preserve"> Sie die Notwendigkeit der Abwehr beider theologischen Ansichten</w:t>
      </w:r>
      <w:r w:rsidR="009C12C6" w:rsidRPr="00E3671B">
        <w:rPr>
          <w:rFonts w:asciiTheme="minorHAnsi" w:hAnsiTheme="minorHAnsi" w:cstheme="minorHAnsi"/>
        </w:rPr>
        <w:t xml:space="preserve">. </w:t>
      </w:r>
    </w:p>
    <w:p w:rsidR="00E3671B" w:rsidRPr="00E3671B" w:rsidRDefault="00E3671B" w:rsidP="007E4B4C">
      <w:pPr>
        <w:pStyle w:val="Listenabsatz"/>
        <w:rPr>
          <w:rFonts w:asciiTheme="minorHAnsi" w:hAnsiTheme="minorHAnsi" w:cstheme="minorHAnsi"/>
        </w:rPr>
      </w:pPr>
      <w:bookmarkStart w:id="0" w:name="_GoBack"/>
      <w:bookmarkEnd w:id="0"/>
    </w:p>
    <w:p w:rsidR="00183ADA" w:rsidRPr="00E3671B" w:rsidRDefault="00183ADA" w:rsidP="00183ADA">
      <w:pPr>
        <w:rPr>
          <w:rFonts w:asciiTheme="minorHAnsi" w:hAnsiTheme="minorHAnsi" w:cstheme="minorHAnsi"/>
        </w:rPr>
      </w:pPr>
    </w:p>
    <w:p w:rsidR="00461701" w:rsidRPr="00E3671B" w:rsidRDefault="00461701">
      <w:pPr>
        <w:pStyle w:val="StandardWeb"/>
        <w:rPr>
          <w:rFonts w:asciiTheme="minorHAnsi" w:hAnsiTheme="minorHAnsi" w:cstheme="minorHAnsi"/>
        </w:rPr>
      </w:pPr>
    </w:p>
    <w:sectPr w:rsidR="00461701" w:rsidRPr="00E3671B">
      <w:type w:val="continuous"/>
      <w:pgSz w:w="11907" w:h="16840" w:code="9"/>
      <w:pgMar w:top="1134" w:right="1134" w:bottom="1134" w:left="1134" w:header="680" w:footer="68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02C39"/>
    <w:multiLevelType w:val="hybridMultilevel"/>
    <w:tmpl w:val="9C7232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19C"/>
    <w:rsid w:val="00183ADA"/>
    <w:rsid w:val="001D402A"/>
    <w:rsid w:val="00215D7C"/>
    <w:rsid w:val="0028619C"/>
    <w:rsid w:val="003D7D50"/>
    <w:rsid w:val="00461701"/>
    <w:rsid w:val="00477256"/>
    <w:rsid w:val="005A4E48"/>
    <w:rsid w:val="005F6535"/>
    <w:rsid w:val="007E4B4C"/>
    <w:rsid w:val="00885002"/>
    <w:rsid w:val="009C12C6"/>
    <w:rsid w:val="00B7194F"/>
    <w:rsid w:val="00E3671B"/>
    <w:rsid w:val="00F17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D5CE3"/>
  <w14:defaultImageDpi w14:val="0"/>
  <w15:docId w15:val="{948CA475-EA7D-418E-8345-5F829C5A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autoSpaceDE w:val="0"/>
      <w:autoSpaceDN w:val="0"/>
      <w:spacing w:after="0" w:line="240" w:lineRule="auto"/>
    </w:pPr>
    <w:rPr>
      <w:sz w:val="24"/>
      <w:szCs w:val="24"/>
      <w:lang w:bidi="he-IL"/>
    </w:rPr>
  </w:style>
  <w:style w:type="paragraph" w:styleId="berschrift1">
    <w:name w:val="heading 1"/>
    <w:basedOn w:val="Standard"/>
    <w:link w:val="berschrift1Zchn"/>
    <w:uiPriority w:val="99"/>
    <w:qFormat/>
    <w:rsid w:val="0028619C"/>
    <w:pPr>
      <w:autoSpaceDE/>
      <w:autoSpaceDN/>
      <w:spacing w:before="100" w:beforeAutospacing="1" w:after="100" w:afterAutospacing="1"/>
      <w:outlineLvl w:val="0"/>
    </w:pPr>
    <w:rPr>
      <w:b/>
      <w:bCs/>
      <w:kern w:val="36"/>
      <w:sz w:val="48"/>
      <w:szCs w:val="48"/>
    </w:rPr>
  </w:style>
  <w:style w:type="paragraph" w:styleId="berschrift2">
    <w:name w:val="heading 2"/>
    <w:basedOn w:val="Standard"/>
    <w:next w:val="Standard"/>
    <w:link w:val="berschrift2Zchn"/>
    <w:uiPriority w:val="9"/>
    <w:unhideWhenUsed/>
    <w:qFormat/>
    <w:rsid w:val="00E367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kern w:val="32"/>
      <w:sz w:val="32"/>
      <w:szCs w:val="32"/>
      <w:lang w:bidi="he-IL"/>
    </w:rPr>
  </w:style>
  <w:style w:type="character" w:styleId="Funotenzeichen">
    <w:name w:val="footnote reference"/>
    <w:basedOn w:val="Absatz-Standardschriftart"/>
    <w:uiPriority w:val="99"/>
    <w:semiHidden/>
    <w:rPr>
      <w:rFonts w:cs="Times New Roman"/>
      <w:sz w:val="16"/>
      <w:szCs w:val="16"/>
      <w:vertAlign w:val="superscript"/>
    </w:rPr>
  </w:style>
  <w:style w:type="paragraph" w:styleId="Funotentext">
    <w:name w:val="footnote text"/>
    <w:basedOn w:val="Standard"/>
    <w:link w:val="FunotentextZchn"/>
    <w:uiPriority w:val="99"/>
    <w:semiHidden/>
    <w:rPr>
      <w:sz w:val="20"/>
      <w:szCs w:val="20"/>
      <w:lang w:val="en-US"/>
    </w:rPr>
  </w:style>
  <w:style w:type="character" w:customStyle="1" w:styleId="FunotentextZchn">
    <w:name w:val="Fußnotentext Zchn"/>
    <w:basedOn w:val="Absatz-Standardschriftart"/>
    <w:link w:val="Funotentext"/>
    <w:uiPriority w:val="99"/>
    <w:semiHidden/>
    <w:rPr>
      <w:sz w:val="20"/>
      <w:szCs w:val="20"/>
      <w:lang w:bidi="he-IL"/>
    </w:rPr>
  </w:style>
  <w:style w:type="character" w:styleId="Hyperlink">
    <w:name w:val="Hyperlink"/>
    <w:basedOn w:val="Absatz-Standardschriftart"/>
    <w:uiPriority w:val="99"/>
    <w:rPr>
      <w:rFonts w:cs="Times New Roman"/>
      <w:color w:val="0000FF"/>
      <w:u w:val="single"/>
    </w:rPr>
  </w:style>
  <w:style w:type="paragraph" w:styleId="Titel">
    <w:name w:val="Title"/>
    <w:basedOn w:val="Standard"/>
    <w:link w:val="TitelZchn"/>
    <w:uiPriority w:val="99"/>
    <w:qFormat/>
    <w:pPr>
      <w:spacing w:before="240" w:after="360"/>
      <w:jc w:val="center"/>
    </w:pPr>
    <w:rPr>
      <w:rFonts w:ascii="Arial" w:hAnsi="Arial" w:cs="Arial"/>
      <w:b/>
      <w:bCs/>
      <w:kern w:val="28"/>
      <w:sz w:val="44"/>
      <w:szCs w:val="44"/>
    </w:rPr>
  </w:style>
  <w:style w:type="character" w:customStyle="1" w:styleId="TitelZchn">
    <w:name w:val="Titel Zchn"/>
    <w:basedOn w:val="Absatz-Standardschriftart"/>
    <w:link w:val="Titel"/>
    <w:uiPriority w:val="10"/>
    <w:rPr>
      <w:rFonts w:asciiTheme="majorHAnsi" w:eastAsiaTheme="majorEastAsia" w:hAnsiTheme="majorHAnsi" w:cstheme="majorBidi"/>
      <w:b/>
      <w:bCs/>
      <w:kern w:val="28"/>
      <w:sz w:val="32"/>
      <w:szCs w:val="32"/>
      <w:lang w:bidi="he-IL"/>
    </w:rPr>
  </w:style>
  <w:style w:type="paragraph" w:styleId="Untertitel">
    <w:name w:val="Subtitle"/>
    <w:basedOn w:val="Standard"/>
    <w:link w:val="UntertitelZchn"/>
    <w:uiPriority w:val="99"/>
    <w:qFormat/>
    <w:pPr>
      <w:spacing w:after="60"/>
      <w:jc w:val="center"/>
      <w:outlineLvl w:val="1"/>
    </w:pPr>
    <w:rPr>
      <w:rFonts w:ascii="Arial" w:hAnsi="Arial" w:cs="Arial"/>
      <w:sz w:val="32"/>
      <w:szCs w:val="32"/>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sz w:val="24"/>
      <w:szCs w:val="24"/>
      <w:lang w:bidi="he-IL"/>
    </w:rPr>
  </w:style>
  <w:style w:type="character" w:customStyle="1" w:styleId="searchhit">
    <w:name w:val="search_hit"/>
    <w:basedOn w:val="Absatz-Standardschriftart"/>
    <w:uiPriority w:val="99"/>
    <w:rsid w:val="0028619C"/>
    <w:rPr>
      <w:rFonts w:cs="Times New Roman"/>
    </w:rPr>
  </w:style>
  <w:style w:type="paragraph" w:styleId="StandardWeb">
    <w:name w:val="Normal (Web)"/>
    <w:basedOn w:val="Standard"/>
    <w:uiPriority w:val="99"/>
    <w:rsid w:val="0028619C"/>
    <w:pPr>
      <w:autoSpaceDE/>
      <w:autoSpaceDN/>
      <w:spacing w:before="100" w:beforeAutospacing="1" w:after="100" w:afterAutospacing="1"/>
    </w:pPr>
  </w:style>
  <w:style w:type="character" w:customStyle="1" w:styleId="berschrift2Zchn">
    <w:name w:val="Überschrift 2 Zchn"/>
    <w:basedOn w:val="Absatz-Standardschriftart"/>
    <w:link w:val="berschrift2"/>
    <w:uiPriority w:val="9"/>
    <w:rsid w:val="00E3671B"/>
    <w:rPr>
      <w:rFonts w:asciiTheme="majorHAnsi" w:eastAsiaTheme="majorEastAsia" w:hAnsiTheme="majorHAnsi" w:cstheme="majorBidi"/>
      <w:color w:val="365F91" w:themeColor="accent1" w:themeShade="BF"/>
      <w:sz w:val="26"/>
      <w:szCs w:val="26"/>
      <w:lang w:bidi="he-IL"/>
    </w:rPr>
  </w:style>
  <w:style w:type="paragraph" w:styleId="Listenabsatz">
    <w:name w:val="List Paragraph"/>
    <w:basedOn w:val="Standard"/>
    <w:uiPriority w:val="34"/>
    <w:qFormat/>
    <w:rsid w:val="00E36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236179">
      <w:marLeft w:val="0"/>
      <w:marRight w:val="0"/>
      <w:marTop w:val="0"/>
      <w:marBottom w:val="0"/>
      <w:divBdr>
        <w:top w:val="none" w:sz="0" w:space="0" w:color="auto"/>
        <w:left w:val="none" w:sz="0" w:space="0" w:color="auto"/>
        <w:bottom w:val="none" w:sz="0" w:space="0" w:color="auto"/>
        <w:right w:val="none" w:sz="0" w:space="0" w:color="auto"/>
      </w:divBdr>
      <w:divsChild>
        <w:div w:id="413236180">
          <w:marLeft w:val="0"/>
          <w:marRight w:val="0"/>
          <w:marTop w:val="0"/>
          <w:marBottom w:val="0"/>
          <w:divBdr>
            <w:top w:val="none" w:sz="0" w:space="0" w:color="auto"/>
            <w:left w:val="none" w:sz="0" w:space="0" w:color="auto"/>
            <w:bottom w:val="none" w:sz="0" w:space="0" w:color="auto"/>
            <w:right w:val="none" w:sz="0" w:space="0" w:color="auto"/>
          </w:divBdr>
          <w:divsChild>
            <w:div w:id="4132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Das Bekenntnis von Ephesus (431 n.Chr.)</vt:lpstr>
    </vt:vector>
  </TitlesOfParts>
  <Company>www.theologische-links.de</Company>
  <LinksUpToDate>false</LinksUpToDate>
  <CharactersWithSpaces>2246</CharactersWithSpaces>
  <SharedDoc>false</SharedDoc>
  <HyperlinkBase>www.theologische-links.de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Bekenntnis von Ephesus (431 n.Chr.)</dc:title>
  <dc:creator>Hauser, Uwe</dc:creator>
  <dc:description>Ein Bekenntnis der Alten Kirche</dc:description>
  <cp:lastModifiedBy>Hauser, Uwe</cp:lastModifiedBy>
  <cp:revision>7</cp:revision>
  <dcterms:created xsi:type="dcterms:W3CDTF">2019-02-13T14:06:00Z</dcterms:created>
  <dcterms:modified xsi:type="dcterms:W3CDTF">2020-09-10T08:44:00Z</dcterms:modified>
</cp:coreProperties>
</file>