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51" w:rsidRPr="009E0651" w:rsidRDefault="009E0651" w:rsidP="009E0651">
      <w:pPr>
        <w:spacing w:after="330" w:line="276" w:lineRule="auto"/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Immanuel Kant, Logik. Ein Handbuch zur Vorlesung</w:t>
      </w:r>
    </w:p>
    <w:p w:rsidR="009E0651" w:rsidRPr="009E0651" w:rsidRDefault="009E0651" w:rsidP="009E0651">
      <w:pPr>
        <w:spacing w:after="330" w:line="276" w:lineRule="auto"/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Materiale und formale oder logische Wahrheit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: Es gibt keine Allgemeine materiale Wahrheit.</w:t>
      </w:r>
    </w:p>
    <w:p w:rsidR="009E0651" w:rsidRPr="009E0651" w:rsidRDefault="009E0651" w:rsidP="009E0651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:rsidR="009E0651" w:rsidRPr="009E0651" w:rsidRDefault="009E0651" w:rsidP="009E0651">
      <w:pPr>
        <w:spacing w:after="60" w:line="276" w:lineRule="auto"/>
        <w:ind w:firstLine="3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Eine Hauptvollkommenheit des Erkenntnisses, ja die wesentliche und unzertrennliche Bedingung aller Vollkommenheit desselben, ist die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Wahrheit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. — Wahrheit, sagt man, besteht in der Übereinstimmung der Erkenntnis mit dem Gegenstande. Dieser bloßen Worterklärung zu folge soll also </w:t>
      </w:r>
      <w:proofErr w:type="gram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mein Erkenntnis</w:t>
      </w:r>
      <w:proofErr w:type="gramEnd"/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, um als wahr zu gelten, mit dem Objekt übereinstimmen. Nun kann ich aber das Objekt nur mit meinem Erkenntnisse vergleichen,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 xml:space="preserve">dadurch </w:t>
      </w:r>
      <w:proofErr w:type="spellStart"/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daß</w:t>
      </w:r>
      <w:proofErr w:type="spellEnd"/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 xml:space="preserve"> ich es erkenne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. Meine Erkenntnis soll sich also selbst bestätigen, welches aber zur Wahrheit noch lange nicht hinreichend ist. Denn da das Objekt außer mir und die Erkenntnis in mir ist: so kann ich immer doch nur beurteilen: ob meine Erkenntnis vom Objekt mit meiner Erkenntnis vom Objekt übereinstimme. Einen solchen Zirkel im Erklären nannten die Alten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Diallele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. Und wirklich wurde dieser Fehler auch immer den Logikern von den Skeptikern vorgeworfen, welche bemerkten: es verhalte sich mit jener Erklärung der Wahrheit </w:t>
      </w:r>
      <w:proofErr w:type="spell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eben so</w:t>
      </w:r>
      <w:proofErr w:type="spellEnd"/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, wie wenn jemand vor Gericht eine Aussage tue und sich dabei auf einen Zeugen berufe, den niemand kenne, der sich aber dadurch glaubwürdig machen wolle, </w:t>
      </w:r>
      <w:proofErr w:type="spell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daß</w:t>
      </w:r>
      <w:proofErr w:type="spellEnd"/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er behaupte, der, welcher ihn zum Zeugen aufgerufen, sei ein ehrlicher Mann. — Die Beschuldigung war allerdings gegründet. Nur ist die Auflösung der gedachten Aufgabe schlechthin und für jeden Menschen unmöglich.</w:t>
      </w:r>
    </w:p>
    <w:p w:rsidR="009E0651" w:rsidRPr="009E0651" w:rsidRDefault="009E0651" w:rsidP="009E0651">
      <w:pPr>
        <w:spacing w:after="60" w:line="276" w:lineRule="auto"/>
        <w:ind w:firstLine="3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Es fragt sich nämlich hier: Ob und in wie fern es ein sicheres, allgemeines und in der Anwendung brauchbares Kriterium der Wahrheit </w:t>
      </w:r>
      <w:proofErr w:type="gram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gebe ?</w:t>
      </w:r>
      <w:proofErr w:type="gramEnd"/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— Denn das soll die Frage: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Was ist Wahrheit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>? — bedeuten.</w:t>
      </w:r>
    </w:p>
    <w:p w:rsidR="009E0651" w:rsidRPr="009E0651" w:rsidRDefault="009E0651" w:rsidP="009E0651">
      <w:pPr>
        <w:spacing w:after="60" w:line="276" w:lineRule="auto"/>
        <w:ind w:firstLine="3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Um diese wichtige Frage entscheiden zu können, müssen wir das, was </w:t>
      </w:r>
      <w:proofErr w:type="gram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in unserm Erkenntnisse</w:t>
      </w:r>
      <w:proofErr w:type="gramEnd"/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zur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Materie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desselben gehört und auf das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Objekt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sich bezieht, von dem, was die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bloße Form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, als diejenige Bedingung betrifft, ohne welche ein Erkenntnis gar kein Erkenntnis überhaupt sein würde, wohl unterscheiden. — Mit Rücksicht auf diesen Unterschied zwischen der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objektiven, materialen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und der </w:t>
      </w:r>
      <w:r w:rsidRPr="009E0651">
        <w:rPr>
          <w:rFonts w:asciiTheme="minorHAnsi" w:hAnsiTheme="minorHAnsi" w:cstheme="minorHAnsi"/>
          <w:color w:val="000000"/>
          <w:spacing w:val="45"/>
          <w:sz w:val="22"/>
          <w:szCs w:val="22"/>
        </w:rPr>
        <w:t>subjektiven, formalen</w:t>
      </w:r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Beziehung </w:t>
      </w:r>
      <w:proofErr w:type="gram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in unserm Erkenntnisse</w:t>
      </w:r>
      <w:proofErr w:type="gramEnd"/>
      <w:r w:rsidRPr="009E0651">
        <w:rPr>
          <w:rFonts w:asciiTheme="minorHAnsi" w:hAnsiTheme="minorHAnsi" w:cstheme="minorHAnsi"/>
          <w:color w:val="000000"/>
          <w:sz w:val="22"/>
          <w:szCs w:val="22"/>
        </w:rPr>
        <w:t xml:space="preserve"> zerfällt daher die obige Frage in die zwei </w:t>
      </w:r>
      <w:proofErr w:type="spellStart"/>
      <w:r w:rsidRPr="009E0651">
        <w:rPr>
          <w:rFonts w:asciiTheme="minorHAnsi" w:hAnsiTheme="minorHAnsi" w:cstheme="minorHAnsi"/>
          <w:color w:val="000000"/>
          <w:sz w:val="22"/>
          <w:szCs w:val="22"/>
        </w:rPr>
        <w:t>besondern</w:t>
      </w:r>
      <w:proofErr w:type="spellEnd"/>
      <w:r w:rsidRPr="009E065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9E0651" w:rsidRPr="009E0651" w:rsidRDefault="009E0651" w:rsidP="009E0651">
      <w:pPr>
        <w:spacing w:after="60" w:line="276" w:lineRule="auto"/>
        <w:ind w:firstLine="3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color w:val="000000"/>
          <w:sz w:val="22"/>
          <w:szCs w:val="22"/>
        </w:rPr>
        <w:t>1) Gibt es ein allgemeines materiales, und</w:t>
      </w:r>
    </w:p>
    <w:p w:rsidR="009E0651" w:rsidRPr="009E0651" w:rsidRDefault="009E0651" w:rsidP="009E0651">
      <w:pPr>
        <w:spacing w:line="276" w:lineRule="auto"/>
        <w:ind w:firstLine="3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0651">
        <w:rPr>
          <w:rFonts w:asciiTheme="minorHAnsi" w:hAnsiTheme="minorHAnsi" w:cstheme="minorHAnsi"/>
          <w:color w:val="000000"/>
          <w:sz w:val="22"/>
          <w:szCs w:val="22"/>
        </w:rPr>
        <w:t>2) Gibt es ein allgemeines formales Kriterium der Wahrheit?</w:t>
      </w:r>
    </w:p>
    <w:p w:rsidR="00FC529D" w:rsidRDefault="009E0651" w:rsidP="009E06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0651">
        <w:rPr>
          <w:rFonts w:asciiTheme="minorHAnsi" w:hAnsiTheme="minorHAnsi" w:cstheme="minorHAnsi"/>
          <w:sz w:val="22"/>
          <w:szCs w:val="22"/>
        </w:rPr>
        <w:t xml:space="preserve">Ein allgemeines materiales Kriterium der Wahrheit ist nicht möglich; — es ist sogar in sich selbst widersprechend. Denn als ein </w:t>
      </w:r>
      <w:r w:rsidRPr="009E0651">
        <w:rPr>
          <w:rFonts w:asciiTheme="minorHAnsi" w:hAnsiTheme="minorHAnsi" w:cstheme="minorHAnsi"/>
          <w:spacing w:val="45"/>
          <w:sz w:val="22"/>
          <w:szCs w:val="22"/>
        </w:rPr>
        <w:t>allgemeines</w:t>
      </w:r>
      <w:r w:rsidRPr="009E0651">
        <w:rPr>
          <w:rFonts w:asciiTheme="minorHAnsi" w:hAnsiTheme="minorHAnsi" w:cstheme="minorHAnsi"/>
          <w:sz w:val="22"/>
          <w:szCs w:val="22"/>
        </w:rPr>
        <w:t xml:space="preserve">, für alle Objekte überhaupt gültiges, </w:t>
      </w:r>
      <w:proofErr w:type="spellStart"/>
      <w:r w:rsidRPr="009E0651">
        <w:rPr>
          <w:rFonts w:asciiTheme="minorHAnsi" w:hAnsiTheme="minorHAnsi" w:cstheme="minorHAnsi"/>
          <w:sz w:val="22"/>
          <w:szCs w:val="22"/>
        </w:rPr>
        <w:t>müßte</w:t>
      </w:r>
      <w:proofErr w:type="spellEnd"/>
      <w:r w:rsidRPr="009E0651">
        <w:rPr>
          <w:rFonts w:asciiTheme="minorHAnsi" w:hAnsiTheme="minorHAnsi" w:cstheme="minorHAnsi"/>
          <w:sz w:val="22"/>
          <w:szCs w:val="22"/>
        </w:rPr>
        <w:t xml:space="preserve"> es von allem Unterschiede derselben völlig abstrahieren und doch auch zugleich als ein materiales Kriterium eben auf diesen Unterschied gehen, um bestimmen zu können, ob </w:t>
      </w:r>
      <w:proofErr w:type="gramStart"/>
      <w:r w:rsidRPr="009E0651">
        <w:rPr>
          <w:rFonts w:asciiTheme="minorHAnsi" w:hAnsiTheme="minorHAnsi" w:cstheme="minorHAnsi"/>
          <w:sz w:val="22"/>
          <w:szCs w:val="22"/>
        </w:rPr>
        <w:t>ein Erkenntnis</w:t>
      </w:r>
      <w:proofErr w:type="gramEnd"/>
      <w:r w:rsidRPr="009E0651">
        <w:rPr>
          <w:rFonts w:asciiTheme="minorHAnsi" w:hAnsiTheme="minorHAnsi" w:cstheme="minorHAnsi"/>
          <w:sz w:val="22"/>
          <w:szCs w:val="22"/>
        </w:rPr>
        <w:t xml:space="preserve"> gerade mit demjenigen Objekte, worauf es bezogen wird, und nicht mit irgend einem Objekt überhaupt — womit eigentlich gar nichts gesagt wäre — übereinstimme. In dieser Übereinstimmung einer Erkenntnis </w:t>
      </w:r>
      <w:proofErr w:type="gramStart"/>
      <w:r w:rsidRPr="009E0651">
        <w:rPr>
          <w:rFonts w:asciiTheme="minorHAnsi" w:hAnsiTheme="minorHAnsi" w:cstheme="minorHAnsi"/>
          <w:sz w:val="22"/>
          <w:szCs w:val="22"/>
        </w:rPr>
        <w:t>mit demjenigen bestimmten Objekte</w:t>
      </w:r>
      <w:proofErr w:type="gramEnd"/>
      <w:r w:rsidRPr="009E0651">
        <w:rPr>
          <w:rFonts w:asciiTheme="minorHAnsi" w:hAnsiTheme="minorHAnsi" w:cstheme="minorHAnsi"/>
          <w:sz w:val="22"/>
          <w:szCs w:val="22"/>
        </w:rPr>
        <w:t xml:space="preserve">, worauf sie bezogen wird, </w:t>
      </w:r>
      <w:proofErr w:type="spellStart"/>
      <w:r w:rsidRPr="009E0651">
        <w:rPr>
          <w:rFonts w:asciiTheme="minorHAnsi" w:hAnsiTheme="minorHAnsi" w:cstheme="minorHAnsi"/>
          <w:sz w:val="22"/>
          <w:szCs w:val="22"/>
        </w:rPr>
        <w:t>muß</w:t>
      </w:r>
      <w:proofErr w:type="spellEnd"/>
      <w:r w:rsidRPr="009E0651">
        <w:rPr>
          <w:rFonts w:asciiTheme="minorHAnsi" w:hAnsiTheme="minorHAnsi" w:cstheme="minorHAnsi"/>
          <w:sz w:val="22"/>
          <w:szCs w:val="22"/>
        </w:rPr>
        <w:t xml:space="preserve"> aber die materiale Wahrheit bestehen. Denn </w:t>
      </w:r>
      <w:proofErr w:type="gramStart"/>
      <w:r w:rsidRPr="009E0651">
        <w:rPr>
          <w:rFonts w:asciiTheme="minorHAnsi" w:hAnsiTheme="minorHAnsi" w:cstheme="minorHAnsi"/>
          <w:sz w:val="22"/>
          <w:szCs w:val="22"/>
        </w:rPr>
        <w:t>ein Erkenntnis</w:t>
      </w:r>
      <w:proofErr w:type="gramEnd"/>
      <w:r w:rsidRPr="009E0651">
        <w:rPr>
          <w:rFonts w:asciiTheme="minorHAnsi" w:hAnsiTheme="minorHAnsi" w:cstheme="minorHAnsi"/>
          <w:sz w:val="22"/>
          <w:szCs w:val="22"/>
        </w:rPr>
        <w:t xml:space="preserve">, welches in Ansehung Eines Objektes wahr ist, kann in Beziehung auf andre Objekte falsch sein. Es ist daher ungereimt, ein allgemeines materiales Kriterium der Wahrheit zu fordern, </w:t>
      </w:r>
      <w:proofErr w:type="gramStart"/>
      <w:r w:rsidRPr="009E0651">
        <w:rPr>
          <w:rFonts w:asciiTheme="minorHAnsi" w:hAnsiTheme="minorHAnsi" w:cstheme="minorHAnsi"/>
          <w:sz w:val="22"/>
          <w:szCs w:val="22"/>
        </w:rPr>
        <w:t>das</w:t>
      </w:r>
      <w:proofErr w:type="gramEnd"/>
      <w:r w:rsidRPr="009E0651">
        <w:rPr>
          <w:rFonts w:asciiTheme="minorHAnsi" w:hAnsiTheme="minorHAnsi" w:cstheme="minorHAnsi"/>
          <w:sz w:val="22"/>
          <w:szCs w:val="22"/>
        </w:rPr>
        <w:t xml:space="preserve"> von allem Unterschiede der Objekte zugleich abstrahieren und auch nicht abstrahieren solle. —</w:t>
      </w:r>
    </w:p>
    <w:p w:rsidR="009E0651" w:rsidRDefault="009E0651" w:rsidP="009E06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E0651" w:rsidRDefault="009E0651" w:rsidP="009E06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Quelle: </w:t>
      </w:r>
      <w:hyperlink r:id="rId4" w:history="1">
        <w:r w:rsidRPr="00B64B6C">
          <w:rPr>
            <w:rStyle w:val="Hyperlink"/>
            <w:rFonts w:asciiTheme="minorHAnsi" w:hAnsiTheme="minorHAnsi" w:cstheme="minorHAnsi"/>
            <w:sz w:val="22"/>
            <w:szCs w:val="22"/>
          </w:rPr>
          <w:t>https://www.textlog.de/kant-logik-materiale-formale.html</w:t>
        </w:r>
      </w:hyperlink>
    </w:p>
    <w:p w:rsidR="009E0651" w:rsidRPr="009E0651" w:rsidRDefault="009E0651" w:rsidP="009E06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E0651" w:rsidRPr="009E0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51"/>
    <w:rsid w:val="004A3DEF"/>
    <w:rsid w:val="008A58F9"/>
    <w:rsid w:val="009E0651"/>
    <w:rsid w:val="00F65B20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90732"/>
  <w15:chartTrackingRefBased/>
  <w15:docId w15:val="{99E4296D-AB66-421F-9AD7-D902723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E0651"/>
    <w:pPr>
      <w:spacing w:before="150" w:after="330" w:line="300" w:lineRule="atLeast"/>
      <w:jc w:val="center"/>
      <w:outlineLvl w:val="1"/>
    </w:pPr>
    <w:rPr>
      <w:rFonts w:ascii="Verdana" w:hAnsi="Verdana"/>
      <w:b/>
      <w:bCs/>
      <w:color w:val="000000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E0651"/>
    <w:rPr>
      <w:rFonts w:ascii="Verdana" w:hAnsi="Verdana"/>
      <w:b/>
      <w:bCs/>
      <w:color w:val="000000"/>
      <w:sz w:val="23"/>
      <w:szCs w:val="23"/>
    </w:rPr>
  </w:style>
  <w:style w:type="paragraph" w:styleId="StandardWeb">
    <w:name w:val="Normal (Web)"/>
    <w:basedOn w:val="Standard"/>
    <w:uiPriority w:val="99"/>
    <w:semiHidden/>
    <w:unhideWhenUsed/>
    <w:rsid w:val="009E0651"/>
    <w:pPr>
      <w:spacing w:after="60" w:line="315" w:lineRule="atLeast"/>
      <w:ind w:firstLine="300"/>
      <w:jc w:val="both"/>
    </w:pPr>
    <w:rPr>
      <w:rFonts w:ascii="Verdana" w:hAnsi="Verdana"/>
      <w:color w:val="000000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06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065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E06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018">
          <w:marLeft w:val="420"/>
          <w:marRight w:val="0"/>
          <w:marTop w:val="5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xtlog.de/kant-logik-materiale-formale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Immanuel Kant, Logik. Ein Handbuch zur Vorlesung</vt:lpstr>
      <vt:lpstr>    Materiale und formale oder logische Wahrheit: Es gibt keine Allgemeine materiale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Loeffler, Ulrich</dc:creator>
  <cp:keywords/>
  <dc:description/>
  <cp:lastModifiedBy>Loeffler, Ulrich</cp:lastModifiedBy>
  <cp:revision>1</cp:revision>
  <dcterms:created xsi:type="dcterms:W3CDTF">2020-08-19T08:19:00Z</dcterms:created>
  <dcterms:modified xsi:type="dcterms:W3CDTF">2020-08-19T08:26:00Z</dcterms:modified>
</cp:coreProperties>
</file>